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2504">
      <w:pPr>
        <w:spacing w:before="145" w:beforeLines="50"/>
        <w:jc w:val="center"/>
        <w:rPr>
          <w:rFonts w:hint="eastAsia" w:ascii="新宋体" w:hAnsi="新宋体" w:eastAsia="新宋体" w:cs="新宋体"/>
          <w:b/>
          <w:bCs/>
          <w:sz w:val="36"/>
          <w:szCs w:val="36"/>
          <w:u w:val="none"/>
        </w:rPr>
      </w:pPr>
      <w:r>
        <w:rPr>
          <w:rFonts w:hint="eastAsia" w:ascii="新宋体" w:hAnsi="新宋体" w:eastAsia="新宋体" w:cs="新宋体"/>
          <w:b/>
          <w:bCs/>
          <w:color w:val="000000"/>
          <w:sz w:val="36"/>
          <w:szCs w:val="36"/>
          <w:u w:val="none"/>
          <w:lang w:val="en-US" w:eastAsia="zh-CN"/>
        </w:rPr>
        <w:t>威海市皓程置业有限</w:t>
      </w:r>
      <w:r>
        <w:rPr>
          <w:rFonts w:hint="eastAsia" w:ascii="新宋体" w:hAnsi="新宋体" w:eastAsia="新宋体" w:cs="新宋体"/>
          <w:b/>
          <w:bCs/>
          <w:color w:val="000000"/>
          <w:sz w:val="36"/>
          <w:szCs w:val="36"/>
          <w:u w:val="none"/>
        </w:rPr>
        <w:t>公司重整案</w:t>
      </w:r>
    </w:p>
    <w:p w14:paraId="68CD0974">
      <w:pPr>
        <w:spacing w:before="145" w:beforeLines="50"/>
        <w:jc w:val="center"/>
        <w:rPr>
          <w:rFonts w:hint="eastAsia" w:ascii="新宋体" w:hAnsi="新宋体" w:eastAsia="新宋体" w:cs="新宋体"/>
          <w:b/>
          <w:bCs/>
          <w:color w:val="000000"/>
          <w:sz w:val="36"/>
          <w:szCs w:val="36"/>
          <w:u w:val="none"/>
        </w:rPr>
      </w:pPr>
      <w:r>
        <w:rPr>
          <w:rFonts w:hint="eastAsia" w:ascii="新宋体" w:hAnsi="新宋体" w:eastAsia="新宋体" w:cs="新宋体"/>
          <w:b/>
          <w:bCs/>
          <w:color w:val="000000"/>
          <w:sz w:val="36"/>
          <w:szCs w:val="36"/>
          <w:u w:val="none"/>
        </w:rPr>
        <w:t>债权申报指引</w:t>
      </w:r>
    </w:p>
    <w:p w14:paraId="1CF0A2DA">
      <w:pPr>
        <w:keepNext w:val="0"/>
        <w:keepLines w:val="0"/>
        <w:pageBreakBefore w:val="0"/>
        <w:widowControl w:val="0"/>
        <w:kinsoku/>
        <w:wordWrap/>
        <w:overflowPunct/>
        <w:topLinePunct w:val="0"/>
        <w:autoSpaceDE/>
        <w:autoSpaceDN/>
        <w:bidi w:val="0"/>
        <w:adjustRightInd/>
        <w:snapToGrid/>
        <w:spacing w:before="145" w:beforeLines="50" w:line="440" w:lineRule="exact"/>
        <w:textAlignment w:val="auto"/>
        <w:rPr>
          <w:rFonts w:ascii="楷体" w:hAnsi="楷体" w:eastAsia="楷体"/>
          <w:color w:val="000000"/>
          <w:sz w:val="10"/>
          <w:szCs w:val="10"/>
          <w:u w:val="none"/>
        </w:rPr>
      </w:pPr>
    </w:p>
    <w:p w14:paraId="56A434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尊敬的各位债权申报人：</w:t>
      </w:r>
    </w:p>
    <w:p w14:paraId="44CBD7B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202</w:t>
      </w:r>
      <w:r>
        <w:rPr>
          <w:rFonts w:hint="eastAsia" w:ascii="仿宋" w:hAnsi="仿宋" w:eastAsia="仿宋" w:cs="仿宋"/>
          <w:color w:val="000000"/>
          <w:sz w:val="30"/>
          <w:szCs w:val="30"/>
          <w:u w:val="none"/>
          <w:lang w:val="en-US" w:eastAsia="zh-CN"/>
        </w:rPr>
        <w:t>6</w:t>
      </w:r>
      <w:r>
        <w:rPr>
          <w:rFonts w:hint="eastAsia" w:ascii="仿宋" w:hAnsi="仿宋" w:eastAsia="仿宋" w:cs="仿宋"/>
          <w:color w:val="000000"/>
          <w:sz w:val="30"/>
          <w:szCs w:val="30"/>
          <w:u w:val="none"/>
        </w:rPr>
        <w:t>年</w:t>
      </w:r>
      <w:r>
        <w:rPr>
          <w:rFonts w:hint="eastAsia" w:ascii="仿宋" w:hAnsi="仿宋" w:eastAsia="仿宋" w:cs="仿宋"/>
          <w:color w:val="000000"/>
          <w:sz w:val="30"/>
          <w:szCs w:val="30"/>
          <w:u w:val="none"/>
          <w:lang w:val="en-US" w:eastAsia="zh-CN"/>
        </w:rPr>
        <w:t>1</w:t>
      </w:r>
      <w:r>
        <w:rPr>
          <w:rFonts w:hint="eastAsia" w:ascii="仿宋" w:hAnsi="仿宋" w:eastAsia="仿宋" w:cs="仿宋"/>
          <w:color w:val="000000"/>
          <w:sz w:val="30"/>
          <w:szCs w:val="30"/>
          <w:u w:val="none"/>
        </w:rPr>
        <w:t>月3</w:t>
      </w:r>
      <w:r>
        <w:rPr>
          <w:rFonts w:hint="eastAsia" w:ascii="仿宋" w:hAnsi="仿宋" w:eastAsia="仿宋" w:cs="仿宋"/>
          <w:color w:val="000000"/>
          <w:sz w:val="30"/>
          <w:szCs w:val="30"/>
          <w:u w:val="none"/>
          <w:lang w:val="en-US" w:eastAsia="zh-CN"/>
        </w:rPr>
        <w:t>0</w:t>
      </w:r>
      <w:r>
        <w:rPr>
          <w:rFonts w:hint="eastAsia" w:ascii="仿宋" w:hAnsi="仿宋" w:eastAsia="仿宋" w:cs="仿宋"/>
          <w:color w:val="000000"/>
          <w:sz w:val="30"/>
          <w:szCs w:val="30"/>
          <w:u w:val="none"/>
        </w:rPr>
        <w:t>日，山东省荣成市人民法院（以下简称：荣成法院）</w:t>
      </w:r>
      <w:r>
        <w:rPr>
          <w:rFonts w:hint="eastAsia" w:ascii="仿宋" w:hAnsi="仿宋" w:eastAsia="仿宋" w:cs="仿宋"/>
          <w:color w:val="000000"/>
          <w:sz w:val="30"/>
          <w:szCs w:val="30"/>
          <w:u w:val="none"/>
          <w:lang w:val="en-US" w:eastAsia="zh-CN"/>
        </w:rPr>
        <w:t>作出</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2026</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鲁1082破申1号民事裁定书，</w:t>
      </w:r>
      <w:r>
        <w:rPr>
          <w:rFonts w:hint="eastAsia" w:ascii="仿宋" w:hAnsi="仿宋" w:eastAsia="仿宋" w:cs="仿宋"/>
          <w:color w:val="000000"/>
          <w:sz w:val="30"/>
          <w:szCs w:val="30"/>
          <w:u w:val="none"/>
        </w:rPr>
        <w:t>依法裁定受理</w:t>
      </w:r>
      <w:r>
        <w:rPr>
          <w:rFonts w:hint="eastAsia" w:ascii="仿宋" w:hAnsi="仿宋" w:eastAsia="仿宋" w:cs="仿宋"/>
          <w:color w:val="000000"/>
          <w:sz w:val="30"/>
          <w:szCs w:val="30"/>
          <w:u w:val="none"/>
          <w:lang w:val="en-US" w:eastAsia="zh-CN"/>
        </w:rPr>
        <w:t>杨华东、郭晓伟、姜状、李晶、董传顺、宋学财、纪晓娇、张程亮、常茂富、彭海明</w:t>
      </w:r>
      <w:r>
        <w:rPr>
          <w:rFonts w:hint="eastAsia" w:ascii="仿宋" w:hAnsi="仿宋" w:eastAsia="仿宋" w:cs="仿宋"/>
          <w:color w:val="000000"/>
          <w:sz w:val="30"/>
          <w:szCs w:val="30"/>
          <w:u w:val="none"/>
        </w:rPr>
        <w:t>对</w:t>
      </w:r>
      <w:r>
        <w:rPr>
          <w:rFonts w:hint="eastAsia" w:ascii="仿宋" w:hAnsi="仿宋" w:eastAsia="仿宋" w:cs="仿宋"/>
          <w:color w:val="000000"/>
          <w:sz w:val="30"/>
          <w:szCs w:val="30"/>
          <w:u w:val="none"/>
          <w:lang w:val="en-US" w:eastAsia="zh-CN"/>
        </w:rPr>
        <w:t>威海市皓程置业有限公司</w:t>
      </w:r>
      <w:r>
        <w:rPr>
          <w:rFonts w:hint="eastAsia" w:ascii="仿宋" w:hAnsi="仿宋" w:eastAsia="仿宋" w:cs="仿宋"/>
          <w:color w:val="000000"/>
          <w:sz w:val="30"/>
          <w:szCs w:val="30"/>
          <w:u w:val="none"/>
        </w:rPr>
        <w:t>（以下简</w:t>
      </w:r>
      <w:r>
        <w:rPr>
          <w:rFonts w:hint="eastAsia" w:ascii="仿宋" w:hAnsi="仿宋" w:eastAsia="仿宋" w:cs="仿宋"/>
          <w:sz w:val="30"/>
          <w:szCs w:val="30"/>
          <w:u w:val="none"/>
        </w:rPr>
        <w:t>称：</w:t>
      </w:r>
      <w:r>
        <w:rPr>
          <w:rFonts w:hint="eastAsia" w:ascii="仿宋" w:hAnsi="仿宋" w:eastAsia="仿宋" w:cs="仿宋"/>
          <w:sz w:val="30"/>
          <w:szCs w:val="30"/>
          <w:u w:val="none"/>
          <w:lang w:val="en-US" w:eastAsia="zh-CN"/>
        </w:rPr>
        <w:t>债务人</w:t>
      </w:r>
      <w:r>
        <w:rPr>
          <w:rFonts w:hint="eastAsia" w:ascii="仿宋" w:hAnsi="仿宋" w:eastAsia="仿宋" w:cs="仿宋"/>
          <w:sz w:val="30"/>
          <w:szCs w:val="30"/>
          <w:u w:val="none"/>
        </w:rPr>
        <w:t>）的</w:t>
      </w:r>
      <w:r>
        <w:rPr>
          <w:rFonts w:hint="eastAsia" w:ascii="仿宋" w:hAnsi="仿宋" w:eastAsia="仿宋" w:cs="仿宋"/>
          <w:sz w:val="30"/>
          <w:szCs w:val="30"/>
          <w:u w:val="none"/>
          <w:lang w:eastAsia="zh-CN"/>
        </w:rPr>
        <w:t>破产</w:t>
      </w:r>
      <w:r>
        <w:rPr>
          <w:rFonts w:hint="eastAsia" w:ascii="仿宋" w:hAnsi="仿宋" w:eastAsia="仿宋" w:cs="仿宋"/>
          <w:color w:val="000000"/>
          <w:sz w:val="30"/>
          <w:szCs w:val="30"/>
          <w:u w:val="none"/>
        </w:rPr>
        <w:t>重整申请，并于202</w:t>
      </w:r>
      <w:r>
        <w:rPr>
          <w:rFonts w:hint="eastAsia" w:ascii="仿宋" w:hAnsi="仿宋" w:eastAsia="仿宋" w:cs="仿宋"/>
          <w:color w:val="000000"/>
          <w:sz w:val="30"/>
          <w:szCs w:val="30"/>
          <w:u w:val="none"/>
          <w:lang w:val="en-US" w:eastAsia="zh-CN"/>
        </w:rPr>
        <w:t>6</w:t>
      </w:r>
      <w:r>
        <w:rPr>
          <w:rFonts w:hint="eastAsia" w:ascii="仿宋" w:hAnsi="仿宋" w:eastAsia="仿宋" w:cs="仿宋"/>
          <w:color w:val="000000"/>
          <w:sz w:val="30"/>
          <w:szCs w:val="30"/>
          <w:u w:val="none"/>
        </w:rPr>
        <w:t>年</w:t>
      </w:r>
      <w:r>
        <w:rPr>
          <w:rFonts w:hint="eastAsia" w:ascii="仿宋" w:hAnsi="仿宋" w:eastAsia="仿宋" w:cs="仿宋"/>
          <w:color w:val="000000"/>
          <w:sz w:val="30"/>
          <w:szCs w:val="30"/>
          <w:u w:val="none"/>
          <w:lang w:val="en-US" w:eastAsia="zh-CN"/>
        </w:rPr>
        <w:t>2</w:t>
      </w:r>
      <w:r>
        <w:rPr>
          <w:rFonts w:hint="eastAsia" w:ascii="仿宋" w:hAnsi="仿宋" w:eastAsia="仿宋" w:cs="仿宋"/>
          <w:color w:val="000000"/>
          <w:sz w:val="30"/>
          <w:szCs w:val="30"/>
          <w:u w:val="none"/>
        </w:rPr>
        <w:t>月</w:t>
      </w:r>
      <w:r>
        <w:rPr>
          <w:rFonts w:hint="eastAsia" w:ascii="仿宋" w:hAnsi="仿宋" w:eastAsia="仿宋" w:cs="仿宋"/>
          <w:color w:val="000000"/>
          <w:sz w:val="30"/>
          <w:szCs w:val="30"/>
          <w:u w:val="none"/>
          <w:lang w:val="en-US" w:eastAsia="zh-CN"/>
        </w:rPr>
        <w:t>6</w:t>
      </w:r>
      <w:r>
        <w:rPr>
          <w:rFonts w:hint="eastAsia" w:ascii="仿宋" w:hAnsi="仿宋" w:eastAsia="仿宋" w:cs="仿宋"/>
          <w:color w:val="000000"/>
          <w:sz w:val="30"/>
          <w:szCs w:val="30"/>
          <w:u w:val="none"/>
        </w:rPr>
        <w:t>日</w:t>
      </w:r>
      <w:r>
        <w:rPr>
          <w:rFonts w:hint="eastAsia" w:ascii="仿宋" w:hAnsi="仿宋" w:eastAsia="仿宋" w:cs="仿宋"/>
          <w:color w:val="000000"/>
          <w:sz w:val="30"/>
          <w:szCs w:val="30"/>
          <w:u w:val="none"/>
          <w:lang w:eastAsia="zh-CN"/>
        </w:rPr>
        <w:t>作出</w:t>
      </w:r>
      <w:r>
        <w:rPr>
          <w:rFonts w:hint="eastAsia" w:ascii="仿宋" w:hAnsi="仿宋" w:eastAsia="仿宋" w:cs="仿宋"/>
          <w:color w:val="000000"/>
          <w:sz w:val="30"/>
          <w:szCs w:val="30"/>
          <w:u w:val="none"/>
        </w:rPr>
        <w:t>（202</w:t>
      </w:r>
      <w:r>
        <w:rPr>
          <w:rFonts w:hint="eastAsia" w:ascii="仿宋" w:hAnsi="仿宋" w:eastAsia="仿宋" w:cs="仿宋"/>
          <w:color w:val="000000"/>
          <w:sz w:val="30"/>
          <w:szCs w:val="30"/>
          <w:u w:val="none"/>
          <w:lang w:val="en-US" w:eastAsia="zh-CN"/>
        </w:rPr>
        <w:t>6</w:t>
      </w:r>
      <w:r>
        <w:rPr>
          <w:rFonts w:hint="eastAsia" w:ascii="仿宋" w:hAnsi="仿宋" w:eastAsia="仿宋" w:cs="仿宋"/>
          <w:color w:val="000000"/>
          <w:sz w:val="30"/>
          <w:szCs w:val="30"/>
          <w:u w:val="none"/>
        </w:rPr>
        <w:t>）鲁10</w:t>
      </w:r>
      <w:r>
        <w:rPr>
          <w:rFonts w:hint="eastAsia" w:ascii="仿宋" w:hAnsi="仿宋" w:eastAsia="仿宋" w:cs="仿宋"/>
          <w:color w:val="000000"/>
          <w:sz w:val="30"/>
          <w:szCs w:val="30"/>
          <w:u w:val="none"/>
          <w:lang w:val="en-US" w:eastAsia="zh-CN"/>
        </w:rPr>
        <w:t>8</w:t>
      </w:r>
      <w:r>
        <w:rPr>
          <w:rFonts w:hint="eastAsia" w:ascii="仿宋" w:hAnsi="仿宋" w:eastAsia="仿宋" w:cs="仿宋"/>
          <w:color w:val="000000"/>
          <w:sz w:val="30"/>
          <w:szCs w:val="30"/>
          <w:u w:val="none"/>
        </w:rPr>
        <w:t>2破</w:t>
      </w:r>
      <w:r>
        <w:rPr>
          <w:rFonts w:hint="eastAsia" w:ascii="仿宋" w:hAnsi="仿宋" w:eastAsia="仿宋" w:cs="仿宋"/>
          <w:color w:val="000000"/>
          <w:sz w:val="30"/>
          <w:szCs w:val="30"/>
          <w:u w:val="none"/>
          <w:lang w:val="en-US" w:eastAsia="zh-CN"/>
        </w:rPr>
        <w:t>1</w:t>
      </w:r>
      <w:r>
        <w:rPr>
          <w:rFonts w:hint="eastAsia" w:ascii="仿宋" w:hAnsi="仿宋" w:eastAsia="仿宋" w:cs="仿宋"/>
          <w:color w:val="000000"/>
          <w:sz w:val="30"/>
          <w:szCs w:val="30"/>
          <w:u w:val="none"/>
        </w:rPr>
        <w:t>号决定书，指定山东胶东律师事务所担任管理人。</w:t>
      </w:r>
    </w:p>
    <w:p w14:paraId="3142742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为明确债权申报有关事项，帮助申报人顺利申报债权，管理人现就债权申报相关问题作如下指引，请各位申报人按照指引内容尽快申报债权。</w:t>
      </w:r>
    </w:p>
    <w:p w14:paraId="0CAA642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一、债权申报主体</w:t>
      </w:r>
    </w:p>
    <w:p w14:paraId="7FD14CA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根据《中华人民共和国企业破产法》（以下简称：《企业破产法》）的规定，人民法院受理重整时</w:t>
      </w:r>
      <w:r>
        <w:rPr>
          <w:rFonts w:hint="eastAsia" w:ascii="仿宋" w:hAnsi="仿宋" w:eastAsia="仿宋" w:cs="仿宋"/>
          <w:sz w:val="30"/>
          <w:szCs w:val="30"/>
          <w:u w:val="none"/>
        </w:rPr>
        <w:t>对</w:t>
      </w:r>
      <w:r>
        <w:rPr>
          <w:rFonts w:hint="eastAsia" w:ascii="仿宋" w:hAnsi="仿宋" w:eastAsia="仿宋" w:cs="仿宋"/>
          <w:sz w:val="30"/>
          <w:szCs w:val="30"/>
          <w:u w:val="none"/>
          <w:lang w:val="en-US" w:eastAsia="zh-CN"/>
        </w:rPr>
        <w:t>债务人享有债权的债权人，均可作为债权人向管理人申报债权。</w:t>
      </w:r>
    </w:p>
    <w:p w14:paraId="1B76F272">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sz w:val="30"/>
          <w:szCs w:val="30"/>
          <w:u w:val="none"/>
        </w:rPr>
      </w:pPr>
      <w:r>
        <w:rPr>
          <w:rFonts w:hint="eastAsia" w:ascii="仿宋" w:hAnsi="仿宋" w:eastAsia="仿宋" w:cs="仿宋"/>
          <w:sz w:val="30"/>
          <w:szCs w:val="30"/>
          <w:u w:val="none"/>
        </w:rPr>
        <w:t>未到期的债权，自重整申请受理时</w:t>
      </w:r>
      <w:r>
        <w:rPr>
          <w:rFonts w:hint="eastAsia" w:ascii="仿宋" w:hAnsi="仿宋" w:eastAsia="仿宋" w:cs="仿宋"/>
          <w:sz w:val="30"/>
          <w:szCs w:val="30"/>
          <w:u w:val="none"/>
          <w:lang w:val="en-US" w:eastAsia="zh-CN"/>
        </w:rPr>
        <w:t>即2026年1月30日</w:t>
      </w:r>
      <w:r>
        <w:rPr>
          <w:rFonts w:hint="eastAsia" w:ascii="仿宋" w:hAnsi="仿宋" w:eastAsia="仿宋" w:cs="仿宋"/>
          <w:sz w:val="30"/>
          <w:szCs w:val="30"/>
          <w:u w:val="none"/>
        </w:rPr>
        <w:t>视为到期，相关债权人可向管理人申报债权。</w:t>
      </w:r>
    </w:p>
    <w:p w14:paraId="3D3FCD6A">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附条件、附期限的债权和诉讼、仲裁未决的债权，债权人可以向管理人申报债权。</w:t>
      </w:r>
    </w:p>
    <w:p w14:paraId="53B838B8">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未申报债权的债权人，不得按照</w:t>
      </w:r>
      <w:r>
        <w:rPr>
          <w:rFonts w:hint="eastAsia" w:ascii="仿宋" w:hAnsi="仿宋" w:eastAsia="仿宋" w:cs="仿宋"/>
          <w:color w:val="000000"/>
          <w:sz w:val="30"/>
          <w:szCs w:val="30"/>
          <w:u w:val="none"/>
        </w:rPr>
        <w:t>《企业破产法》</w:t>
      </w:r>
      <w:r>
        <w:rPr>
          <w:rFonts w:hint="eastAsia" w:ascii="仿宋" w:hAnsi="仿宋" w:eastAsia="仿宋" w:cs="仿宋"/>
          <w:sz w:val="30"/>
          <w:szCs w:val="30"/>
          <w:u w:val="none"/>
          <w:lang w:val="en-US" w:eastAsia="zh-CN"/>
        </w:rPr>
        <w:t>规定的程序行使权利。</w:t>
      </w:r>
    </w:p>
    <w:p w14:paraId="5D64C32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lang w:val="en-US" w:eastAsia="zh-CN"/>
        </w:rPr>
        <w:t>二</w:t>
      </w:r>
      <w:r>
        <w:rPr>
          <w:rFonts w:hint="eastAsia" w:ascii="仿宋" w:hAnsi="仿宋" w:eastAsia="仿宋" w:cs="仿宋"/>
          <w:b/>
          <w:bCs/>
          <w:color w:val="000000"/>
          <w:sz w:val="30"/>
          <w:szCs w:val="30"/>
          <w:u w:val="none"/>
        </w:rPr>
        <w:t>、债权申报期限</w:t>
      </w:r>
    </w:p>
    <w:p w14:paraId="6901DAF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rPr>
        <w:t>债权申报期限截止日为202</w:t>
      </w:r>
      <w:r>
        <w:rPr>
          <w:rFonts w:hint="eastAsia" w:ascii="仿宋" w:hAnsi="仿宋" w:eastAsia="仿宋" w:cs="仿宋"/>
          <w:sz w:val="30"/>
          <w:szCs w:val="30"/>
          <w:highlight w:val="none"/>
          <w:u w:val="none"/>
          <w:lang w:val="en-US" w:eastAsia="zh-CN"/>
        </w:rPr>
        <w:t>6</w:t>
      </w:r>
      <w:r>
        <w:rPr>
          <w:rFonts w:hint="eastAsia" w:ascii="仿宋" w:hAnsi="仿宋" w:eastAsia="仿宋" w:cs="仿宋"/>
          <w:sz w:val="30"/>
          <w:szCs w:val="30"/>
          <w:highlight w:val="none"/>
          <w:u w:val="none"/>
        </w:rPr>
        <w:t>年</w:t>
      </w:r>
      <w:r>
        <w:rPr>
          <w:rFonts w:hint="eastAsia" w:ascii="仿宋" w:hAnsi="仿宋" w:eastAsia="仿宋" w:cs="仿宋"/>
          <w:sz w:val="30"/>
          <w:szCs w:val="30"/>
          <w:highlight w:val="none"/>
          <w:u w:val="none"/>
          <w:lang w:val="en-US" w:eastAsia="zh-CN"/>
        </w:rPr>
        <w:t>4</w:t>
      </w:r>
      <w:r>
        <w:rPr>
          <w:rFonts w:hint="eastAsia" w:ascii="仿宋" w:hAnsi="仿宋" w:eastAsia="仿宋" w:cs="仿宋"/>
          <w:sz w:val="30"/>
          <w:szCs w:val="30"/>
          <w:highlight w:val="none"/>
          <w:u w:val="none"/>
        </w:rPr>
        <w:t>月</w:t>
      </w:r>
      <w:r>
        <w:rPr>
          <w:rFonts w:hint="eastAsia" w:ascii="仿宋" w:hAnsi="仿宋" w:eastAsia="仿宋" w:cs="仿宋"/>
          <w:sz w:val="30"/>
          <w:szCs w:val="30"/>
          <w:highlight w:val="none"/>
          <w:u w:val="none"/>
          <w:lang w:val="en-US" w:eastAsia="zh-CN"/>
        </w:rPr>
        <w:t>30</w:t>
      </w:r>
      <w:r>
        <w:rPr>
          <w:rFonts w:hint="eastAsia" w:ascii="仿宋" w:hAnsi="仿宋" w:eastAsia="仿宋" w:cs="仿宋"/>
          <w:sz w:val="30"/>
          <w:szCs w:val="30"/>
          <w:highlight w:val="none"/>
          <w:u w:val="none"/>
        </w:rPr>
        <w:t>日（含当日）。申报人</w:t>
      </w:r>
      <w:r>
        <w:rPr>
          <w:rFonts w:hint="eastAsia" w:ascii="仿宋" w:hAnsi="仿宋" w:eastAsia="仿宋" w:cs="仿宋"/>
          <w:sz w:val="30"/>
          <w:szCs w:val="30"/>
          <w:highlight w:val="none"/>
          <w:u w:val="none"/>
          <w:lang w:val="en-US" w:eastAsia="zh-CN"/>
        </w:rPr>
        <w:t>应在该期限内向管理人</w:t>
      </w:r>
      <w:r>
        <w:rPr>
          <w:rFonts w:hint="eastAsia" w:ascii="仿宋" w:hAnsi="仿宋" w:eastAsia="仿宋" w:cs="仿宋"/>
          <w:sz w:val="30"/>
          <w:szCs w:val="30"/>
          <w:highlight w:val="none"/>
          <w:u w:val="none"/>
        </w:rPr>
        <w:t>申报债权，</w:t>
      </w:r>
      <w:r>
        <w:rPr>
          <w:rFonts w:hint="eastAsia" w:ascii="仿宋" w:hAnsi="仿宋" w:eastAsia="仿宋" w:cs="仿宋"/>
          <w:sz w:val="30"/>
          <w:szCs w:val="30"/>
          <w:highlight w:val="none"/>
          <w:u w:val="none"/>
          <w:lang w:val="en-US" w:eastAsia="zh-CN"/>
        </w:rPr>
        <w:t>如未在期限内申报债权，导致的所有法律后果由申报人自行承担。</w:t>
      </w:r>
    </w:p>
    <w:p w14:paraId="27D5B73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在人民法院确定的债权申报期限内，债权人未申报债权的，可以在重整计划草案提交债权人会议表决前补充申报，但要承担为审查和确认补充申报债权所产生的费用。</w:t>
      </w:r>
    </w:p>
    <w:p w14:paraId="5046210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lang w:eastAsia="zh-Hans"/>
        </w:rPr>
        <w:t>债权人未依法申报债权的，在重整计划执行期间不得行使权利</w:t>
      </w:r>
      <w:r>
        <w:rPr>
          <w:rFonts w:hint="eastAsia" w:ascii="仿宋" w:hAnsi="仿宋" w:eastAsia="仿宋" w:cs="仿宋"/>
          <w:sz w:val="30"/>
          <w:szCs w:val="30"/>
          <w:u w:val="none"/>
        </w:rPr>
        <w:t>；在重整计划执行完毕后，可以按照重整计划规定的同类债权的清偿条件行使权利。</w:t>
      </w:r>
    </w:p>
    <w:p w14:paraId="1B38E77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经管理人初步审查认为债权申报材料符合本指引要求的，将予以登记造册并尽快进行实质审查和确认；债权申报材料存在缺漏、不足等情形影响债权审查确认的，管理人将要求申报人进行补充完善，直至符合本指引相关要求后方予登记造册。</w:t>
      </w:r>
    </w:p>
    <w:p w14:paraId="71148709">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color w:val="000000"/>
          <w:sz w:val="30"/>
          <w:szCs w:val="30"/>
          <w:u w:val="none"/>
        </w:rPr>
      </w:pPr>
      <w:r>
        <w:rPr>
          <w:rFonts w:hint="eastAsia" w:ascii="仿宋" w:hAnsi="仿宋" w:eastAsia="仿宋" w:cs="仿宋"/>
          <w:b/>
          <w:bCs/>
          <w:color w:val="000000"/>
          <w:sz w:val="30"/>
          <w:szCs w:val="30"/>
          <w:u w:val="none"/>
          <w:lang w:val="en-US" w:eastAsia="zh-CN"/>
        </w:rPr>
        <w:t>三</w:t>
      </w:r>
      <w:r>
        <w:rPr>
          <w:rFonts w:hint="eastAsia" w:ascii="仿宋" w:hAnsi="仿宋" w:eastAsia="仿宋" w:cs="仿宋"/>
          <w:b/>
          <w:bCs/>
          <w:color w:val="000000"/>
          <w:sz w:val="30"/>
          <w:szCs w:val="30"/>
          <w:u w:val="none"/>
        </w:rPr>
        <w:t>、债权申报方式</w:t>
      </w:r>
    </w:p>
    <w:p w14:paraId="3B8D570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为</w:t>
      </w:r>
      <w:r>
        <w:rPr>
          <w:rFonts w:hint="eastAsia" w:ascii="仿宋" w:hAnsi="仿宋" w:eastAsia="仿宋" w:cs="仿宋"/>
          <w:sz w:val="30"/>
          <w:szCs w:val="30"/>
          <w:u w:val="none"/>
          <w:lang w:val="en-US" w:eastAsia="zh-CN"/>
        </w:rPr>
        <w:t>方便债权</w:t>
      </w:r>
      <w:r>
        <w:rPr>
          <w:rFonts w:hint="eastAsia" w:ascii="仿宋" w:hAnsi="仿宋" w:eastAsia="仿宋" w:cs="仿宋"/>
          <w:sz w:val="30"/>
          <w:szCs w:val="30"/>
          <w:u w:val="none"/>
        </w:rPr>
        <w:t>申报人申报债权</w:t>
      </w:r>
      <w:r>
        <w:rPr>
          <w:rFonts w:hint="eastAsia" w:ascii="仿宋" w:hAnsi="仿宋" w:eastAsia="仿宋" w:cs="仿宋"/>
          <w:sz w:val="30"/>
          <w:szCs w:val="30"/>
          <w:u w:val="none"/>
          <w:lang w:eastAsia="zh-CN"/>
        </w:rPr>
        <w:t>，</w:t>
      </w:r>
      <w:r>
        <w:rPr>
          <w:rFonts w:hint="eastAsia" w:ascii="仿宋" w:hAnsi="仿宋" w:eastAsia="仿宋" w:cs="仿宋"/>
          <w:sz w:val="30"/>
          <w:szCs w:val="30"/>
          <w:u w:val="none"/>
        </w:rPr>
        <w:t>债权申报采取“现场申报＋线下邮寄”两种方式，具体如下：</w:t>
      </w:r>
    </w:p>
    <w:p w14:paraId="3310BA7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（一）现场申报：</w:t>
      </w:r>
    </w:p>
    <w:p w14:paraId="3969F6F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债权申报人</w:t>
      </w:r>
      <w:r>
        <w:rPr>
          <w:rFonts w:hint="eastAsia" w:ascii="仿宋" w:hAnsi="仿宋" w:eastAsia="仿宋" w:cs="仿宋"/>
          <w:sz w:val="30"/>
          <w:szCs w:val="30"/>
          <w:u w:val="none"/>
          <w:lang w:val="en-US" w:eastAsia="zh-CN"/>
        </w:rPr>
        <w:t>为法人或非法人组织的，</w:t>
      </w:r>
      <w:r>
        <w:rPr>
          <w:rFonts w:hint="eastAsia" w:ascii="仿宋" w:hAnsi="仿宋" w:eastAsia="仿宋" w:cs="仿宋"/>
          <w:sz w:val="30"/>
          <w:szCs w:val="30"/>
          <w:u w:val="none"/>
        </w:rPr>
        <w:t>可由法定代表人</w:t>
      </w:r>
      <w:r>
        <w:rPr>
          <w:rFonts w:hint="eastAsia" w:ascii="仿宋" w:hAnsi="仿宋" w:eastAsia="仿宋" w:cs="仿宋"/>
          <w:sz w:val="30"/>
          <w:szCs w:val="30"/>
          <w:u w:val="none"/>
          <w:lang w:val="en-US" w:eastAsia="zh-CN"/>
        </w:rPr>
        <w:t>/负责人</w:t>
      </w:r>
      <w:r>
        <w:rPr>
          <w:rFonts w:hint="eastAsia" w:ascii="仿宋" w:hAnsi="仿宋" w:eastAsia="仿宋" w:cs="仿宋"/>
          <w:sz w:val="30"/>
          <w:szCs w:val="30"/>
          <w:u w:val="none"/>
        </w:rPr>
        <w:t>或委托代理人</w:t>
      </w:r>
      <w:r>
        <w:rPr>
          <w:rFonts w:hint="eastAsia" w:ascii="仿宋" w:hAnsi="仿宋" w:eastAsia="仿宋" w:cs="仿宋"/>
          <w:sz w:val="30"/>
          <w:szCs w:val="30"/>
          <w:u w:val="none"/>
          <w:lang w:val="en-US" w:eastAsia="zh-CN"/>
        </w:rPr>
        <w:t>持身份证</w:t>
      </w:r>
      <w:r>
        <w:rPr>
          <w:rFonts w:hint="eastAsia" w:ascii="仿宋" w:hAnsi="仿宋" w:eastAsia="仿宋" w:cs="仿宋"/>
          <w:sz w:val="30"/>
          <w:szCs w:val="30"/>
          <w:u w:val="none"/>
        </w:rPr>
        <w:t>到管理人办公</w:t>
      </w:r>
      <w:r>
        <w:rPr>
          <w:rFonts w:hint="eastAsia" w:ascii="仿宋" w:hAnsi="仿宋" w:eastAsia="仿宋" w:cs="仿宋"/>
          <w:sz w:val="30"/>
          <w:szCs w:val="30"/>
          <w:u w:val="none"/>
          <w:lang w:eastAsia="zh-CN"/>
        </w:rPr>
        <w:t>处</w:t>
      </w:r>
      <w:r>
        <w:rPr>
          <w:rFonts w:hint="eastAsia" w:ascii="仿宋" w:hAnsi="仿宋" w:eastAsia="仿宋" w:cs="仿宋"/>
          <w:sz w:val="30"/>
          <w:szCs w:val="30"/>
          <w:u w:val="none"/>
        </w:rPr>
        <w:t>现场申报债权并提交债权申报材料；债权申报人</w:t>
      </w:r>
      <w:r>
        <w:rPr>
          <w:rFonts w:hint="eastAsia" w:ascii="仿宋" w:hAnsi="仿宋" w:eastAsia="仿宋" w:cs="仿宋"/>
          <w:sz w:val="30"/>
          <w:szCs w:val="30"/>
          <w:u w:val="none"/>
          <w:lang w:val="en-US" w:eastAsia="zh-CN"/>
        </w:rPr>
        <w:t>为</w:t>
      </w:r>
      <w:r>
        <w:rPr>
          <w:rFonts w:hint="eastAsia" w:ascii="仿宋" w:hAnsi="仿宋" w:eastAsia="仿宋" w:cs="仿宋"/>
          <w:sz w:val="30"/>
          <w:szCs w:val="30"/>
          <w:u w:val="none"/>
        </w:rPr>
        <w:t>自然人</w:t>
      </w:r>
      <w:r>
        <w:rPr>
          <w:rFonts w:hint="eastAsia" w:ascii="仿宋" w:hAnsi="仿宋" w:eastAsia="仿宋" w:cs="仿宋"/>
          <w:sz w:val="30"/>
          <w:szCs w:val="30"/>
          <w:u w:val="none"/>
          <w:lang w:val="en-US" w:eastAsia="zh-CN"/>
        </w:rPr>
        <w:t>的，</w:t>
      </w:r>
      <w:r>
        <w:rPr>
          <w:rFonts w:hint="eastAsia" w:ascii="仿宋" w:hAnsi="仿宋" w:eastAsia="仿宋" w:cs="仿宋"/>
          <w:sz w:val="30"/>
          <w:szCs w:val="30"/>
          <w:u w:val="none"/>
        </w:rPr>
        <w:t>须由本人或持公证授权委托书的委托代理人</w:t>
      </w:r>
      <w:r>
        <w:rPr>
          <w:rFonts w:hint="eastAsia" w:ascii="仿宋" w:hAnsi="仿宋" w:eastAsia="仿宋" w:cs="仿宋"/>
          <w:sz w:val="30"/>
          <w:szCs w:val="30"/>
          <w:u w:val="none"/>
          <w:lang w:val="en-US" w:eastAsia="zh-CN"/>
        </w:rPr>
        <w:t>持身份证</w:t>
      </w:r>
      <w:r>
        <w:rPr>
          <w:rFonts w:hint="eastAsia" w:ascii="仿宋" w:hAnsi="仿宋" w:eastAsia="仿宋" w:cs="仿宋"/>
          <w:sz w:val="30"/>
          <w:szCs w:val="30"/>
          <w:u w:val="none"/>
        </w:rPr>
        <w:t>到管理人办公</w:t>
      </w:r>
      <w:r>
        <w:rPr>
          <w:rFonts w:hint="eastAsia" w:ascii="仿宋" w:hAnsi="仿宋" w:eastAsia="仿宋" w:cs="仿宋"/>
          <w:sz w:val="30"/>
          <w:szCs w:val="30"/>
          <w:u w:val="none"/>
          <w:lang w:eastAsia="zh-CN"/>
        </w:rPr>
        <w:t>处</w:t>
      </w:r>
      <w:r>
        <w:rPr>
          <w:rFonts w:hint="eastAsia" w:ascii="仿宋" w:hAnsi="仿宋" w:eastAsia="仿宋" w:cs="仿宋"/>
          <w:sz w:val="30"/>
          <w:szCs w:val="30"/>
          <w:u w:val="none"/>
        </w:rPr>
        <w:t>现场申报债权并提交债权申报材料。</w:t>
      </w:r>
    </w:p>
    <w:p w14:paraId="0014D91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（二）邮寄申报：</w:t>
      </w:r>
    </w:p>
    <w:p w14:paraId="717A3E4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lang w:val="en-US" w:eastAsia="zh-CN"/>
        </w:rPr>
        <w:t>法人或非法人组织</w:t>
      </w:r>
      <w:r>
        <w:rPr>
          <w:rFonts w:hint="eastAsia" w:ascii="仿宋" w:hAnsi="仿宋" w:eastAsia="仿宋" w:cs="仿宋"/>
          <w:sz w:val="30"/>
          <w:szCs w:val="30"/>
          <w:u w:val="none"/>
        </w:rPr>
        <w:t>债权申报可将债权申报材料邮寄给管理人，邮寄时请在邮寄单上注明“</w:t>
      </w:r>
      <w:r>
        <w:rPr>
          <w:rFonts w:hint="eastAsia" w:ascii="仿宋" w:hAnsi="仿宋" w:eastAsia="仿宋" w:cs="仿宋"/>
          <w:sz w:val="30"/>
          <w:szCs w:val="30"/>
          <w:u w:val="none"/>
          <w:lang w:val="en-US" w:eastAsia="zh-CN"/>
        </w:rPr>
        <w:t>皓程置业公司</w:t>
      </w:r>
      <w:r>
        <w:rPr>
          <w:rFonts w:hint="eastAsia" w:ascii="仿宋" w:hAnsi="仿宋" w:eastAsia="仿宋" w:cs="仿宋"/>
          <w:sz w:val="30"/>
          <w:szCs w:val="30"/>
          <w:u w:val="none"/>
        </w:rPr>
        <w:t>债权申报</w:t>
      </w:r>
      <w:r>
        <w:rPr>
          <w:rFonts w:hint="eastAsia" w:ascii="仿宋" w:hAnsi="仿宋" w:eastAsia="仿宋" w:cs="仿宋"/>
          <w:sz w:val="30"/>
          <w:szCs w:val="30"/>
          <w:u w:val="none"/>
          <w:lang w:eastAsia="zh-CN"/>
        </w:rPr>
        <w:t>材料</w:t>
      </w:r>
      <w:r>
        <w:rPr>
          <w:rFonts w:hint="eastAsia" w:ascii="仿宋" w:hAnsi="仿宋" w:eastAsia="仿宋" w:cs="仿宋"/>
          <w:sz w:val="30"/>
          <w:szCs w:val="30"/>
          <w:u w:val="none"/>
        </w:rPr>
        <w:t>”字样，保留邮件寄送底单备查。</w:t>
      </w:r>
    </w:p>
    <w:p w14:paraId="227BA7E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sz w:val="30"/>
          <w:szCs w:val="30"/>
          <w:u w:val="none"/>
        </w:rPr>
        <w:t>自然人债权申报在向管理人邮寄债权申报材料之前，需委托</w:t>
      </w:r>
      <w:r>
        <w:rPr>
          <w:rFonts w:hint="eastAsia" w:ascii="仿宋" w:hAnsi="仿宋" w:eastAsia="仿宋" w:cs="仿宋"/>
          <w:color w:val="000000"/>
          <w:sz w:val="30"/>
          <w:szCs w:val="30"/>
          <w:u w:val="none"/>
        </w:rPr>
        <w:t>公证机构对</w:t>
      </w:r>
      <w:r>
        <w:rPr>
          <w:rFonts w:hint="eastAsia" w:ascii="仿宋" w:hAnsi="仿宋" w:eastAsia="仿宋" w:cs="仿宋"/>
          <w:sz w:val="30"/>
          <w:szCs w:val="30"/>
          <w:u w:val="none"/>
        </w:rPr>
        <w:t>债权申报材料进行公证，以证明申报材料中的申报人签名系申报人本人签署且复印件与原件相一致。邮寄时请在邮寄单上注明“</w:t>
      </w:r>
      <w:r>
        <w:rPr>
          <w:rFonts w:hint="eastAsia" w:ascii="仿宋" w:hAnsi="仿宋" w:eastAsia="仿宋" w:cs="仿宋"/>
          <w:sz w:val="30"/>
          <w:szCs w:val="30"/>
          <w:u w:val="none"/>
          <w:lang w:val="en-US" w:eastAsia="zh-CN"/>
        </w:rPr>
        <w:t>皓程置业公司</w:t>
      </w:r>
      <w:r>
        <w:rPr>
          <w:rFonts w:hint="eastAsia" w:ascii="仿宋" w:hAnsi="仿宋" w:eastAsia="仿宋" w:cs="仿宋"/>
          <w:sz w:val="30"/>
          <w:szCs w:val="30"/>
          <w:u w:val="none"/>
        </w:rPr>
        <w:t>债权申报</w:t>
      </w:r>
      <w:r>
        <w:rPr>
          <w:rFonts w:hint="eastAsia" w:ascii="仿宋" w:hAnsi="仿宋" w:eastAsia="仿宋" w:cs="仿宋"/>
          <w:sz w:val="30"/>
          <w:szCs w:val="30"/>
          <w:u w:val="none"/>
          <w:lang w:eastAsia="zh-CN"/>
        </w:rPr>
        <w:t>材料</w:t>
      </w:r>
      <w:r>
        <w:rPr>
          <w:rFonts w:hint="eastAsia" w:ascii="仿宋" w:hAnsi="仿宋" w:eastAsia="仿宋" w:cs="仿宋"/>
          <w:sz w:val="30"/>
          <w:szCs w:val="30"/>
          <w:u w:val="none"/>
        </w:rPr>
        <w:t>”字样，保留邮件寄送底单备查。</w:t>
      </w:r>
    </w:p>
    <w:p w14:paraId="14CAF1B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管理人联系信息如下：</w:t>
      </w:r>
    </w:p>
    <w:tbl>
      <w:tblPr>
        <w:tblStyle w:val="9"/>
        <w:tblW w:w="849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28"/>
        <w:gridCol w:w="6662"/>
      </w:tblGrid>
      <w:tr w14:paraId="2F31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1828" w:type="dxa"/>
            <w:vAlign w:val="center"/>
          </w:tcPr>
          <w:p w14:paraId="16CE6E8B">
            <w:pPr>
              <w:keepNext w:val="0"/>
              <w:keepLines w:val="0"/>
              <w:pageBreakBefore w:val="0"/>
              <w:widowControl w:val="0"/>
              <w:kinsoku/>
              <w:wordWrap/>
              <w:overflowPunct/>
              <w:topLinePunct w:val="0"/>
              <w:autoSpaceDE/>
              <w:autoSpaceDN/>
              <w:bidi w:val="0"/>
              <w:adjustRightInd/>
              <w:snapToGrid/>
              <w:spacing w:line="360" w:lineRule="auto"/>
              <w:ind w:left="40"/>
              <w:jc w:val="center"/>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rPr>
              <w:t>通讯地址</w:t>
            </w:r>
          </w:p>
        </w:tc>
        <w:tc>
          <w:tcPr>
            <w:tcW w:w="6662" w:type="dxa"/>
            <w:vAlign w:val="center"/>
          </w:tcPr>
          <w:p w14:paraId="363236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30"/>
                <w:szCs w:val="30"/>
                <w:highlight w:val="none"/>
                <w:u w:val="none"/>
                <w:lang w:val="en-US" w:eastAsia="zh-CN"/>
              </w:rPr>
            </w:pPr>
            <w:r>
              <w:rPr>
                <w:rFonts w:hint="eastAsia" w:ascii="仿宋" w:hAnsi="仿宋" w:eastAsia="仿宋" w:cs="仿宋"/>
                <w:color w:val="000000"/>
                <w:sz w:val="30"/>
                <w:szCs w:val="30"/>
                <w:highlight w:val="none"/>
                <w:u w:val="none"/>
                <w:lang w:eastAsia="zh-CN"/>
              </w:rPr>
              <w:t>山东省威海市荣成市南山中路与成山大道西段交叉口南80米皓程国际广场售楼处</w:t>
            </w:r>
          </w:p>
        </w:tc>
      </w:tr>
      <w:tr w14:paraId="7035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7" w:hRule="atLeast"/>
        </w:trPr>
        <w:tc>
          <w:tcPr>
            <w:tcW w:w="1828" w:type="dxa"/>
            <w:vAlign w:val="center"/>
          </w:tcPr>
          <w:p w14:paraId="252BE195">
            <w:pPr>
              <w:keepNext w:val="0"/>
              <w:keepLines w:val="0"/>
              <w:pageBreakBefore w:val="0"/>
              <w:widowControl w:val="0"/>
              <w:kinsoku/>
              <w:wordWrap/>
              <w:overflowPunct/>
              <w:topLinePunct w:val="0"/>
              <w:autoSpaceDE/>
              <w:autoSpaceDN/>
              <w:bidi w:val="0"/>
              <w:adjustRightInd/>
              <w:snapToGrid/>
              <w:spacing w:line="360" w:lineRule="auto"/>
              <w:ind w:left="60"/>
              <w:jc w:val="center"/>
              <w:textAlignment w:val="auto"/>
              <w:rPr>
                <w:rFonts w:hint="eastAsia" w:ascii="仿宋" w:hAnsi="仿宋" w:eastAsia="仿宋" w:cs="仿宋"/>
                <w:color w:val="000000"/>
                <w:sz w:val="30"/>
                <w:szCs w:val="30"/>
                <w:highlight w:val="none"/>
                <w:u w:val="none"/>
                <w:lang w:eastAsia="zh-CN"/>
              </w:rPr>
            </w:pPr>
            <w:r>
              <w:rPr>
                <w:rFonts w:hint="eastAsia" w:ascii="仿宋" w:hAnsi="仿宋" w:eastAsia="仿宋" w:cs="仿宋"/>
                <w:color w:val="000000"/>
                <w:sz w:val="30"/>
                <w:szCs w:val="30"/>
                <w:highlight w:val="none"/>
                <w:u w:val="none"/>
              </w:rPr>
              <w:t>联系</w:t>
            </w:r>
            <w:r>
              <w:rPr>
                <w:rFonts w:hint="eastAsia" w:ascii="仿宋" w:hAnsi="仿宋" w:eastAsia="仿宋" w:cs="仿宋"/>
                <w:color w:val="000000"/>
                <w:sz w:val="30"/>
                <w:szCs w:val="30"/>
                <w:highlight w:val="none"/>
                <w:u w:val="none"/>
                <w:lang w:eastAsia="zh-CN"/>
              </w:rPr>
              <w:t>方式</w:t>
            </w:r>
          </w:p>
        </w:tc>
        <w:tc>
          <w:tcPr>
            <w:tcW w:w="6662" w:type="dxa"/>
            <w:vAlign w:val="center"/>
          </w:tcPr>
          <w:p w14:paraId="70493701">
            <w:pPr>
              <w:keepNext w:val="0"/>
              <w:keepLines w:val="0"/>
              <w:pageBreakBefore w:val="0"/>
              <w:widowControl w:val="0"/>
              <w:kinsoku/>
              <w:wordWrap/>
              <w:overflowPunct/>
              <w:topLinePunct w:val="0"/>
              <w:autoSpaceDE/>
              <w:autoSpaceDN/>
              <w:bidi w:val="0"/>
              <w:adjustRightInd/>
              <w:snapToGrid/>
              <w:spacing w:line="360" w:lineRule="auto"/>
              <w:ind w:left="40"/>
              <w:textAlignment w:val="auto"/>
              <w:rPr>
                <w:rFonts w:hint="eastAsia" w:ascii="仿宋" w:hAnsi="仿宋" w:eastAsia="仿宋" w:cs="仿宋"/>
                <w:color w:val="000000"/>
                <w:sz w:val="30"/>
                <w:szCs w:val="30"/>
                <w:highlight w:val="none"/>
                <w:u w:val="none"/>
                <w:lang w:eastAsia="zh-CN"/>
              </w:rPr>
            </w:pPr>
            <w:r>
              <w:rPr>
                <w:rFonts w:hint="eastAsia" w:ascii="仿宋" w:hAnsi="仿宋" w:eastAsia="仿宋" w:cs="仿宋"/>
                <w:color w:val="000000"/>
                <w:sz w:val="30"/>
                <w:szCs w:val="30"/>
                <w:highlight w:val="none"/>
                <w:u w:val="none"/>
                <w:lang w:eastAsia="zh-CN"/>
              </w:rPr>
              <w:t>于宝明</w:t>
            </w:r>
            <w:r>
              <w:rPr>
                <w:rFonts w:hint="eastAsia" w:ascii="仿宋" w:hAnsi="仿宋" w:eastAsia="仿宋" w:cs="仿宋"/>
                <w:color w:val="000000"/>
                <w:sz w:val="30"/>
                <w:szCs w:val="30"/>
                <w:highlight w:val="none"/>
                <w:u w:val="none"/>
                <w:lang w:val="en-US" w:eastAsia="zh-CN"/>
              </w:rPr>
              <w:t>（13061112676）、</w:t>
            </w:r>
            <w:r>
              <w:rPr>
                <w:rFonts w:hint="eastAsia" w:ascii="仿宋" w:hAnsi="仿宋" w:eastAsia="仿宋" w:cs="仿宋"/>
                <w:color w:val="000000"/>
                <w:sz w:val="30"/>
                <w:szCs w:val="30"/>
                <w:highlight w:val="none"/>
                <w:u w:val="none"/>
                <w:lang w:eastAsia="zh-CN"/>
              </w:rPr>
              <w:t>马雪（</w:t>
            </w:r>
            <w:r>
              <w:rPr>
                <w:rFonts w:hint="eastAsia" w:ascii="仿宋" w:hAnsi="仿宋" w:eastAsia="仿宋" w:cs="仿宋"/>
                <w:color w:val="000000"/>
                <w:sz w:val="30"/>
                <w:szCs w:val="30"/>
                <w:highlight w:val="none"/>
                <w:u w:val="none"/>
                <w:lang w:val="en-US" w:eastAsia="zh-CN"/>
              </w:rPr>
              <w:t>18563179761</w:t>
            </w:r>
            <w:r>
              <w:rPr>
                <w:rFonts w:hint="eastAsia" w:ascii="仿宋" w:hAnsi="仿宋" w:eastAsia="仿宋" w:cs="仿宋"/>
                <w:color w:val="000000"/>
                <w:sz w:val="30"/>
                <w:szCs w:val="30"/>
                <w:highlight w:val="none"/>
                <w:u w:val="none"/>
                <w:lang w:eastAsia="zh-CN"/>
              </w:rPr>
              <w:t>）</w:t>
            </w:r>
          </w:p>
        </w:tc>
      </w:tr>
      <w:tr w14:paraId="1786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1828" w:type="dxa"/>
            <w:vAlign w:val="center"/>
          </w:tcPr>
          <w:p w14:paraId="3484D42C">
            <w:pPr>
              <w:keepNext w:val="0"/>
              <w:keepLines w:val="0"/>
              <w:pageBreakBefore w:val="0"/>
              <w:widowControl w:val="0"/>
              <w:kinsoku/>
              <w:wordWrap/>
              <w:overflowPunct/>
              <w:topLinePunct w:val="0"/>
              <w:autoSpaceDE/>
              <w:autoSpaceDN/>
              <w:bidi w:val="0"/>
              <w:adjustRightInd/>
              <w:snapToGrid/>
              <w:spacing w:line="360" w:lineRule="auto"/>
              <w:ind w:left="60"/>
              <w:jc w:val="center"/>
              <w:textAlignment w:val="auto"/>
              <w:rPr>
                <w:rFonts w:hint="eastAsia" w:ascii="仿宋" w:hAnsi="仿宋" w:eastAsia="仿宋" w:cs="仿宋"/>
                <w:color w:val="000000"/>
                <w:sz w:val="30"/>
                <w:szCs w:val="30"/>
                <w:highlight w:val="none"/>
                <w:u w:val="none"/>
              </w:rPr>
            </w:pPr>
            <w:r>
              <w:rPr>
                <w:rFonts w:hint="eastAsia" w:ascii="仿宋" w:hAnsi="仿宋" w:eastAsia="仿宋" w:cs="仿宋"/>
                <w:color w:val="000000"/>
                <w:sz w:val="30"/>
                <w:szCs w:val="30"/>
                <w:highlight w:val="none"/>
                <w:u w:val="none"/>
                <w:lang w:eastAsia="zh-CN"/>
              </w:rPr>
              <w:t>现场</w:t>
            </w:r>
            <w:r>
              <w:rPr>
                <w:rFonts w:hint="eastAsia" w:ascii="仿宋" w:hAnsi="仿宋" w:eastAsia="仿宋" w:cs="仿宋"/>
                <w:color w:val="000000"/>
                <w:sz w:val="30"/>
                <w:szCs w:val="30"/>
                <w:highlight w:val="none"/>
                <w:u w:val="none"/>
              </w:rPr>
              <w:t>申报时间</w:t>
            </w:r>
          </w:p>
        </w:tc>
        <w:tc>
          <w:tcPr>
            <w:tcW w:w="6662" w:type="dxa"/>
            <w:vAlign w:val="center"/>
          </w:tcPr>
          <w:p w14:paraId="0D00895B">
            <w:pPr>
              <w:keepNext w:val="0"/>
              <w:keepLines w:val="0"/>
              <w:pageBreakBefore w:val="0"/>
              <w:widowControl w:val="0"/>
              <w:kinsoku/>
              <w:wordWrap/>
              <w:overflowPunct/>
              <w:topLinePunct w:val="0"/>
              <w:autoSpaceDE/>
              <w:autoSpaceDN/>
              <w:bidi w:val="0"/>
              <w:adjustRightInd/>
              <w:snapToGrid/>
              <w:spacing w:line="360" w:lineRule="auto"/>
              <w:ind w:left="40"/>
              <w:textAlignment w:val="auto"/>
              <w:rPr>
                <w:rFonts w:hint="eastAsia" w:ascii="仿宋" w:hAnsi="仿宋" w:eastAsia="仿宋" w:cs="仿宋"/>
                <w:color w:val="000000"/>
                <w:sz w:val="30"/>
                <w:szCs w:val="30"/>
                <w:highlight w:val="none"/>
                <w:u w:val="none"/>
                <w:lang w:eastAsia="zh-CN"/>
              </w:rPr>
            </w:pPr>
            <w:r>
              <w:rPr>
                <w:rFonts w:hint="eastAsia" w:ascii="仿宋" w:hAnsi="仿宋" w:eastAsia="仿宋" w:cs="仿宋"/>
                <w:color w:val="000000"/>
                <w:sz w:val="30"/>
                <w:szCs w:val="30"/>
                <w:highlight w:val="none"/>
                <w:u w:val="none"/>
              </w:rPr>
              <w:t>上午</w:t>
            </w:r>
            <w:r>
              <w:rPr>
                <w:rFonts w:hint="eastAsia" w:ascii="仿宋" w:hAnsi="仿宋" w:eastAsia="仿宋" w:cs="仿宋"/>
                <w:color w:val="000000"/>
                <w:sz w:val="30"/>
                <w:szCs w:val="30"/>
                <w:highlight w:val="none"/>
                <w:u w:val="none"/>
                <w:lang w:val="en-US" w:eastAsia="zh-CN"/>
              </w:rPr>
              <w:t>9:00</w:t>
            </w:r>
            <w:r>
              <w:rPr>
                <w:rFonts w:hint="eastAsia" w:ascii="仿宋" w:hAnsi="仿宋" w:eastAsia="仿宋" w:cs="仿宋"/>
                <w:color w:val="000000"/>
                <w:sz w:val="30"/>
                <w:szCs w:val="30"/>
                <w:highlight w:val="none"/>
                <w:u w:val="none"/>
              </w:rPr>
              <w:t>-11:30</w:t>
            </w:r>
            <w:r>
              <w:rPr>
                <w:rFonts w:hint="eastAsia" w:ascii="仿宋" w:hAnsi="仿宋" w:eastAsia="仿宋" w:cs="仿宋"/>
                <w:color w:val="000000"/>
                <w:sz w:val="30"/>
                <w:szCs w:val="30"/>
                <w:highlight w:val="none"/>
                <w:u w:val="none"/>
                <w:lang w:eastAsia="zh-CN"/>
              </w:rPr>
              <w:t>、</w:t>
            </w:r>
            <w:r>
              <w:rPr>
                <w:rFonts w:hint="eastAsia" w:ascii="仿宋" w:hAnsi="仿宋" w:eastAsia="仿宋" w:cs="仿宋"/>
                <w:color w:val="000000"/>
                <w:sz w:val="30"/>
                <w:szCs w:val="30"/>
                <w:highlight w:val="none"/>
                <w:u w:val="none"/>
              </w:rPr>
              <w:t>下午13:30-17:</w:t>
            </w:r>
            <w:r>
              <w:rPr>
                <w:rFonts w:hint="eastAsia" w:ascii="仿宋" w:hAnsi="仿宋" w:eastAsia="仿宋" w:cs="仿宋"/>
                <w:color w:val="000000"/>
                <w:sz w:val="30"/>
                <w:szCs w:val="30"/>
                <w:highlight w:val="none"/>
                <w:u w:val="none"/>
                <w:lang w:val="en-US" w:eastAsia="zh-CN"/>
              </w:rPr>
              <w:t>0</w:t>
            </w:r>
            <w:r>
              <w:rPr>
                <w:rFonts w:hint="eastAsia" w:ascii="仿宋" w:hAnsi="仿宋" w:eastAsia="仿宋" w:cs="仿宋"/>
                <w:color w:val="000000"/>
                <w:sz w:val="30"/>
                <w:szCs w:val="30"/>
                <w:highlight w:val="none"/>
                <w:u w:val="none"/>
              </w:rPr>
              <w:t>0</w:t>
            </w:r>
            <w:r>
              <w:rPr>
                <w:rFonts w:hint="eastAsia" w:ascii="仿宋" w:hAnsi="仿宋" w:eastAsia="仿宋" w:cs="仿宋"/>
                <w:color w:val="000000"/>
                <w:sz w:val="30"/>
                <w:szCs w:val="30"/>
                <w:highlight w:val="none"/>
                <w:u w:val="none"/>
                <w:lang w:eastAsia="zh-CN"/>
              </w:rPr>
              <w:t>，周末、</w:t>
            </w:r>
            <w:r>
              <w:rPr>
                <w:rFonts w:hint="eastAsia" w:ascii="仿宋" w:hAnsi="仿宋" w:eastAsia="仿宋" w:cs="仿宋"/>
                <w:color w:val="000000"/>
                <w:sz w:val="30"/>
                <w:szCs w:val="30"/>
                <w:highlight w:val="none"/>
                <w:u w:val="none"/>
              </w:rPr>
              <w:t>法定节假日</w:t>
            </w:r>
            <w:r>
              <w:rPr>
                <w:rFonts w:hint="eastAsia" w:ascii="仿宋" w:hAnsi="仿宋" w:eastAsia="仿宋" w:cs="仿宋"/>
                <w:color w:val="000000"/>
                <w:sz w:val="30"/>
                <w:szCs w:val="30"/>
                <w:highlight w:val="none"/>
                <w:u w:val="none"/>
                <w:lang w:eastAsia="zh-CN"/>
              </w:rPr>
              <w:t>除</w:t>
            </w:r>
            <w:r>
              <w:rPr>
                <w:rFonts w:hint="eastAsia" w:ascii="仿宋" w:hAnsi="仿宋" w:eastAsia="仿宋" w:cs="仿宋"/>
                <w:color w:val="000000"/>
                <w:sz w:val="30"/>
                <w:szCs w:val="30"/>
                <w:highlight w:val="none"/>
                <w:u w:val="none"/>
              </w:rPr>
              <w:t>外</w:t>
            </w:r>
            <w:r>
              <w:rPr>
                <w:rFonts w:hint="eastAsia" w:ascii="仿宋" w:hAnsi="仿宋" w:eastAsia="仿宋" w:cs="仿宋"/>
                <w:color w:val="000000"/>
                <w:sz w:val="30"/>
                <w:szCs w:val="30"/>
                <w:highlight w:val="none"/>
                <w:u w:val="none"/>
                <w:lang w:eastAsia="zh-CN"/>
              </w:rPr>
              <w:t>。</w:t>
            </w:r>
          </w:p>
        </w:tc>
      </w:tr>
    </w:tbl>
    <w:p w14:paraId="7CFD1D13">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b/>
          <w:bCs/>
          <w:color w:val="000000"/>
          <w:sz w:val="30"/>
          <w:szCs w:val="30"/>
          <w:u w:val="none"/>
          <w:lang w:val="en-US" w:eastAsia="zh-CN"/>
        </w:rPr>
      </w:pPr>
      <w:r>
        <w:rPr>
          <w:rFonts w:hint="eastAsia" w:ascii="仿宋" w:hAnsi="仿宋" w:eastAsia="仿宋" w:cs="仿宋"/>
          <w:sz w:val="30"/>
          <w:szCs w:val="30"/>
          <w:u w:val="none"/>
          <w:lang w:eastAsia="zh-CN"/>
        </w:rPr>
        <w:t>本指引及相关附件请登录全国企业破产重整案件信息网（网址：http://pccz.court.gov.cn）或山东胶东律师事务所官网（网址：</w:t>
      </w:r>
      <w:r>
        <w:rPr>
          <w:rFonts w:hint="eastAsia" w:ascii="仿宋" w:hAnsi="仿宋" w:eastAsia="仿宋" w:cs="仿宋"/>
          <w:sz w:val="30"/>
          <w:szCs w:val="30"/>
          <w:u w:val="none"/>
          <w:lang w:eastAsia="zh-CN"/>
        </w:rPr>
        <w:fldChar w:fldCharType="begin"/>
      </w:r>
      <w:r>
        <w:rPr>
          <w:rFonts w:hint="eastAsia" w:ascii="仿宋" w:hAnsi="仿宋" w:eastAsia="仿宋" w:cs="仿宋"/>
          <w:sz w:val="30"/>
          <w:szCs w:val="30"/>
          <w:u w:val="none"/>
          <w:lang w:eastAsia="zh-CN"/>
        </w:rPr>
        <w:instrText xml:space="preserve"> HYPERLINK "http://www.jiaodonglawyer.com/" </w:instrText>
      </w:r>
      <w:r>
        <w:rPr>
          <w:rFonts w:hint="eastAsia" w:ascii="仿宋" w:hAnsi="仿宋" w:eastAsia="仿宋" w:cs="仿宋"/>
          <w:sz w:val="30"/>
          <w:szCs w:val="30"/>
          <w:u w:val="none"/>
          <w:lang w:eastAsia="zh-CN"/>
        </w:rPr>
        <w:fldChar w:fldCharType="separate"/>
      </w:r>
      <w:r>
        <w:rPr>
          <w:rFonts w:hint="eastAsia" w:ascii="仿宋" w:hAnsi="仿宋" w:eastAsia="仿宋" w:cs="仿宋"/>
          <w:sz w:val="30"/>
          <w:szCs w:val="30"/>
          <w:u w:val="none"/>
          <w:lang w:eastAsia="zh-CN"/>
        </w:rPr>
        <w:t>http://www.jiaodonglawyer.com/</w:t>
      </w:r>
      <w:r>
        <w:rPr>
          <w:rFonts w:hint="eastAsia" w:ascii="仿宋" w:hAnsi="仿宋" w:eastAsia="仿宋" w:cs="仿宋"/>
          <w:sz w:val="30"/>
          <w:szCs w:val="30"/>
          <w:u w:val="none"/>
          <w:lang w:eastAsia="zh-CN"/>
        </w:rPr>
        <w:fldChar w:fldCharType="end"/>
      </w:r>
      <w:r>
        <w:rPr>
          <w:rFonts w:hint="eastAsia" w:ascii="仿宋" w:hAnsi="仿宋" w:eastAsia="仿宋" w:cs="仿宋"/>
          <w:sz w:val="30"/>
          <w:szCs w:val="30"/>
          <w:u w:val="none"/>
          <w:lang w:eastAsia="zh-CN"/>
        </w:rPr>
        <w:t>）阅览、下载电子版（网站内均搜索“</w:t>
      </w:r>
      <w:r>
        <w:rPr>
          <w:rFonts w:hint="eastAsia" w:ascii="仿宋" w:hAnsi="仿宋" w:eastAsia="仿宋" w:cs="仿宋"/>
          <w:sz w:val="30"/>
          <w:szCs w:val="30"/>
          <w:u w:val="none"/>
          <w:lang w:val="en-US" w:eastAsia="zh-CN"/>
        </w:rPr>
        <w:t>威海市皓程置业有限公司</w:t>
      </w:r>
      <w:r>
        <w:rPr>
          <w:rFonts w:hint="eastAsia" w:ascii="仿宋" w:hAnsi="仿宋" w:eastAsia="仿宋" w:cs="仿宋"/>
          <w:sz w:val="30"/>
          <w:szCs w:val="30"/>
          <w:u w:val="none"/>
          <w:lang w:eastAsia="zh-CN"/>
        </w:rPr>
        <w:t>重整案债权申报通知”）。</w:t>
      </w:r>
    </w:p>
    <w:p w14:paraId="67833713">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lang w:val="en-US" w:eastAsia="zh-CN"/>
        </w:rPr>
        <w:t>四</w:t>
      </w:r>
      <w:r>
        <w:rPr>
          <w:rFonts w:hint="eastAsia" w:ascii="仿宋" w:hAnsi="仿宋" w:eastAsia="仿宋" w:cs="仿宋"/>
          <w:b/>
          <w:bCs/>
          <w:color w:val="000000"/>
          <w:sz w:val="30"/>
          <w:szCs w:val="30"/>
          <w:u w:val="none"/>
        </w:rPr>
        <w:t>、</w:t>
      </w:r>
      <w:r>
        <w:rPr>
          <w:rFonts w:hint="eastAsia" w:ascii="仿宋" w:hAnsi="仿宋" w:eastAsia="仿宋" w:cs="仿宋"/>
          <w:b/>
          <w:bCs/>
          <w:sz w:val="30"/>
          <w:szCs w:val="30"/>
          <w:u w:val="none"/>
        </w:rPr>
        <w:t>申报债权应提交的材料</w:t>
      </w:r>
    </w:p>
    <w:p w14:paraId="673D8CB8">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b/>
          <w:bCs/>
          <w:sz w:val="30"/>
          <w:szCs w:val="30"/>
          <w:u w:val="none"/>
          <w:lang w:eastAsia="zh-CN"/>
        </w:rPr>
      </w:pPr>
      <w:r>
        <w:rPr>
          <w:rFonts w:hint="eastAsia" w:ascii="仿宋" w:hAnsi="仿宋" w:eastAsia="仿宋" w:cs="仿宋"/>
          <w:b/>
          <w:bCs/>
          <w:sz w:val="30"/>
          <w:szCs w:val="30"/>
          <w:u w:val="none"/>
          <w:lang w:eastAsia="zh-CN"/>
        </w:rPr>
        <w:t>（一）《债权申报表》、《债权申报材料清单》及《关于申报案件受理费、执行申请费债权的说明》</w:t>
      </w:r>
    </w:p>
    <w:p w14:paraId="25B3BFB6">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lang w:eastAsia="zh-CN"/>
        </w:rPr>
        <w:t>《债权申报表》及《债权申报材料清单》均需申报人人盖章或签名按手印的原件。</w:t>
      </w:r>
    </w:p>
    <w:p w14:paraId="7CB6CEE8">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lang w:eastAsia="zh-CN"/>
        </w:rPr>
        <w:t>填写《债权申报表》注意区分购房者债权人和非购房者债权人，购房者债权人请填写适用于购房者债权人的《债权申报表》，非购房者债权人请填写另外的《债权申报表》。</w:t>
      </w:r>
    </w:p>
    <w:p w14:paraId="52FA7EE4">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lang w:eastAsia="zh-CN"/>
        </w:rPr>
        <w:t>《债权申报表》中“债权申报编号”无需填写，由管理人填写；邮寄地址、收款账户等相关信息一定要详细、准确填写，以便管理人向债权人送达文书、分配债权款项；债权概况应简要陈述债权的形成经过；购房者债权人需要对已开发票/未开发票金额的情况进行说明；非购房者债权人的债权若属于优先债权的，请详细填写优先债权的相关情况；适用于购房者债权人的《债权申报表》中“特定财产担保的债权金额”，是指债务人以某项特定财产为申报人的债权提供抵押、质押、留置、定金、保证金等担保的债权金额。涉及合同的，对合同是否履行完毕需说明。</w:t>
      </w:r>
    </w:p>
    <w:p w14:paraId="2D09F99D">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lang w:eastAsia="zh-CN"/>
        </w:rPr>
        <w:t>申报人人除填写《债权申报表》之外，可以向管理人提交债权说明书（原件），对申报债权的内容予以详细说明。</w:t>
      </w:r>
    </w:p>
    <w:p w14:paraId="05BCDA92">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lang w:eastAsia="zh-CN"/>
        </w:rPr>
      </w:pPr>
      <w:r>
        <w:rPr>
          <w:rFonts w:hint="eastAsia" w:ascii="仿宋" w:hAnsi="仿宋" w:eastAsia="仿宋" w:cs="仿宋"/>
          <w:color w:val="000000"/>
          <w:sz w:val="30"/>
          <w:szCs w:val="30"/>
          <w:u w:val="none"/>
          <w:lang w:val="en-US" w:eastAsia="zh-CN"/>
        </w:rPr>
        <w:t>《关于申报案件受理费、执行申请费债权的说明》，若申报人的债权未经诉讼、执行的，无须打印、下载、提交；若经过诉讼、执行并存在在荣成市人民法院裁定重整申请前，债务人尚未支付案件受理费、执行申请费给申报人的，申报人可以选择向有关人民法院申请退费，亦可选择向管理人申报案件受理费、执行申请费债权的，二者只能择一选择；若选择向管理人申报该债权的，则在申报债权时需向管理人提交《关于申报案件受理费、执行申请费债权的说明》，确认上述案件受理费、执行申请费由债务人按照破产债权清偿比例直接支付给申报人，申报人不再向人民法院申请退费（说明：该债权性质为普通债权）。</w:t>
      </w:r>
    </w:p>
    <w:p w14:paraId="06BED88D">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b/>
          <w:bCs/>
          <w:sz w:val="30"/>
          <w:szCs w:val="30"/>
          <w:u w:val="none"/>
          <w:lang w:eastAsia="zh-CN"/>
        </w:rPr>
      </w:pPr>
      <w:r>
        <w:rPr>
          <w:rFonts w:hint="eastAsia" w:ascii="仿宋" w:hAnsi="仿宋" w:eastAsia="仿宋" w:cs="仿宋"/>
          <w:b/>
          <w:bCs/>
          <w:sz w:val="30"/>
          <w:szCs w:val="30"/>
          <w:u w:val="none"/>
          <w:lang w:eastAsia="zh-CN"/>
        </w:rPr>
        <w:t>（二）债权人主体资格材料及授权委托手续</w:t>
      </w:r>
    </w:p>
    <w:p w14:paraId="5D37B53A">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lang w:eastAsia="zh-CN"/>
        </w:rPr>
        <w:t>债权人为法人/其他组织的，需提交法人/其他组织已年检的营业执照副本复印件（加盖公章）、《法定代表人/负责人身份证明书》（原件）、法定代表人/负责人身份证复印件（本人签字确认、并加盖公章），若债权人名称已变更的，还应提交有关机关出具的名称变更证明（原件）；债权人为自然人的，需提交身份证复印件（本人在复印件上签字确认）。</w:t>
      </w:r>
    </w:p>
    <w:p w14:paraId="167EEC34">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color w:val="000000"/>
          <w:sz w:val="30"/>
          <w:szCs w:val="30"/>
          <w:u w:val="none"/>
          <w:lang w:eastAsia="zh-CN"/>
        </w:rPr>
      </w:pPr>
      <w:r>
        <w:rPr>
          <w:rFonts w:hint="eastAsia" w:ascii="仿宋" w:hAnsi="仿宋" w:eastAsia="仿宋" w:cs="仿宋"/>
          <w:sz w:val="30"/>
          <w:szCs w:val="30"/>
          <w:u w:val="none"/>
          <w:lang w:eastAsia="zh-CN"/>
        </w:rPr>
        <w:t>债权人委托代理人申报的，需提交授权委托书（原件）及代理人身份证或律师执业证复印件（本人在复印件上签字确认），委托代理人是律师的还应提交律师事务所的指派函。</w:t>
      </w:r>
    </w:p>
    <w:p w14:paraId="0C1DD05E">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（三）证明债权成立及债权金额、性质的材料</w:t>
      </w:r>
    </w:p>
    <w:p w14:paraId="6ECF5F64">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申报人申报债权应提交能够证明债权成立及债权金额、性质的全部书面证据材料，包括但不限于：</w:t>
      </w:r>
    </w:p>
    <w:p w14:paraId="248B76D7">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rPr>
        <w:t>1、各类合同书（如借／贷款合同，购／销货合同</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房屋买卖合同、抵债协议</w:t>
      </w:r>
      <w:r>
        <w:rPr>
          <w:rFonts w:hint="eastAsia" w:ascii="仿宋" w:hAnsi="仿宋" w:eastAsia="仿宋" w:cs="仿宋"/>
          <w:color w:val="000000"/>
          <w:sz w:val="30"/>
          <w:szCs w:val="30"/>
          <w:u w:val="none"/>
        </w:rPr>
        <w:t>）等债权形成的基础性材料；</w:t>
      </w:r>
    </w:p>
    <w:p w14:paraId="77517A89">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rPr>
        <w:t>2、相关票据、划账单、汇款单、对账单、提货单、物流单</w:t>
      </w:r>
      <w:r>
        <w:rPr>
          <w:rFonts w:hint="eastAsia" w:ascii="仿宋" w:hAnsi="仿宋" w:eastAsia="仿宋" w:cs="仿宋"/>
          <w:color w:val="000000"/>
          <w:sz w:val="30"/>
          <w:szCs w:val="30"/>
          <w:u w:val="none"/>
          <w:lang w:eastAsia="zh-CN"/>
        </w:rPr>
        <w:t>、购买主体类的付款凭证、收据</w:t>
      </w:r>
      <w:r>
        <w:rPr>
          <w:rFonts w:hint="eastAsia" w:ascii="仿宋" w:hAnsi="仿宋" w:eastAsia="仿宋" w:cs="仿宋"/>
          <w:color w:val="000000"/>
          <w:sz w:val="30"/>
          <w:szCs w:val="30"/>
          <w:u w:val="none"/>
        </w:rPr>
        <w:t>等合同履行的凭证；</w:t>
      </w:r>
    </w:p>
    <w:p w14:paraId="5B15FB35">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lang w:val="en-US" w:eastAsia="zh-CN"/>
        </w:rPr>
        <w:t>3</w:t>
      </w:r>
      <w:r>
        <w:rPr>
          <w:rFonts w:hint="eastAsia" w:ascii="仿宋" w:hAnsi="仿宋" w:eastAsia="仿宋" w:cs="仿宋"/>
          <w:color w:val="000000"/>
          <w:sz w:val="30"/>
          <w:szCs w:val="30"/>
          <w:u w:val="none"/>
        </w:rPr>
        <w:t>、债权如有担保的，须提交抵押合同、质押合同、保证合同、担保物清单以及相关的抵押、质押登记证明（包括但不限于他项权利证明）等担保材料。如担保物的物权凭证（如房产证、土地证、机动车登记证等）由申报人一并保管的，应在申报债权时将原件交给管理人保管；有共同债权人或共同债务人，债权人需要详细说明并提交相关证据材料。</w:t>
      </w:r>
    </w:p>
    <w:p w14:paraId="75530BA0">
      <w:pPr>
        <w:keepNext w:val="0"/>
        <w:keepLines w:val="0"/>
        <w:pageBreakBefore w:val="0"/>
        <w:widowControl w:val="0"/>
        <w:kinsoku/>
        <w:wordWrap/>
        <w:overflowPunct/>
        <w:topLinePunct w:val="0"/>
        <w:autoSpaceDE/>
        <w:autoSpaceDN/>
        <w:bidi w:val="0"/>
        <w:adjustRightInd/>
        <w:snapToGrid/>
        <w:spacing w:line="360" w:lineRule="auto"/>
        <w:ind w:firstLine="58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lang w:val="en-US" w:eastAsia="zh-CN"/>
        </w:rPr>
        <w:t>4</w:t>
      </w:r>
      <w:r>
        <w:rPr>
          <w:rFonts w:hint="eastAsia" w:ascii="仿宋" w:hAnsi="仿宋" w:eastAsia="仿宋" w:cs="仿宋"/>
          <w:color w:val="000000"/>
          <w:sz w:val="30"/>
          <w:szCs w:val="30"/>
          <w:u w:val="none"/>
        </w:rPr>
        <w:t>、债权如涉及诉讼或仲裁，须提交诉讼、仲裁有关的文件。法院出具的生效法律文书应加盖法律文书生效章或提交生效证明文件，如果经过两级法院审理，一、二审法院的法律文书皆需提供；仲裁机构出具的生效法律文书应附上仲裁机构关于法律文书已经生效的函件或双方当事人已签收的送达回执以及证据材料。如已申请人民法院强制执行的，还须提交人民法院出具的执行立案通知书、中止执行裁定书等相关文件；</w:t>
      </w:r>
    </w:p>
    <w:p w14:paraId="0DF1DE22">
      <w:pPr>
        <w:keepNext w:val="0"/>
        <w:keepLines w:val="0"/>
        <w:pageBreakBefore w:val="0"/>
        <w:widowControl w:val="0"/>
        <w:kinsoku/>
        <w:wordWrap/>
        <w:overflowPunct/>
        <w:topLinePunct w:val="0"/>
        <w:autoSpaceDE/>
        <w:autoSpaceDN/>
        <w:bidi w:val="0"/>
        <w:adjustRightInd/>
        <w:snapToGrid/>
        <w:spacing w:line="360" w:lineRule="auto"/>
        <w:ind w:firstLine="58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lang w:val="en-US" w:eastAsia="zh-CN"/>
        </w:rPr>
        <w:t>5</w:t>
      </w:r>
      <w:r>
        <w:rPr>
          <w:rFonts w:hint="eastAsia" w:ascii="仿宋" w:hAnsi="仿宋" w:eastAsia="仿宋" w:cs="仿宋"/>
          <w:color w:val="000000"/>
          <w:sz w:val="30"/>
          <w:szCs w:val="30"/>
          <w:u w:val="none"/>
        </w:rPr>
        <w:t>、申报人在诉讼或仲裁程序中申请财产保全的，须提交人民法院作出的保全裁定书等相关文件；</w:t>
      </w:r>
    </w:p>
    <w:p w14:paraId="12E36C2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lang w:val="en-US" w:eastAsia="zh-CN"/>
        </w:rPr>
        <w:t>6</w:t>
      </w:r>
      <w:r>
        <w:rPr>
          <w:rFonts w:hint="eastAsia" w:ascii="仿宋" w:hAnsi="仿宋" w:eastAsia="仿宋" w:cs="仿宋"/>
          <w:color w:val="000000"/>
          <w:sz w:val="30"/>
          <w:szCs w:val="30"/>
          <w:u w:val="none"/>
        </w:rPr>
        <w:t>、能够证明债权发生、变更、存续，诉讼和执行时效中止、中断、延长的其他材料；</w:t>
      </w:r>
    </w:p>
    <w:p w14:paraId="39B82D8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7</w:t>
      </w:r>
      <w:r>
        <w:rPr>
          <w:rFonts w:hint="eastAsia" w:ascii="仿宋" w:hAnsi="仿宋" w:eastAsia="仿宋" w:cs="仿宋"/>
          <w:color w:val="000000" w:themeColor="text1"/>
          <w:sz w:val="30"/>
          <w:szCs w:val="30"/>
          <w:u w:val="none"/>
          <w14:textFill>
            <w14:solidFill>
              <w14:schemeClr w14:val="tx1"/>
            </w14:solidFill>
          </w14:textFill>
        </w:rPr>
        <w:t>、债务如有清偿情形的，须提供清偿凭证、协议等。如债务清偿系由法院裁定认可的，须同时提交裁定书；</w:t>
      </w:r>
    </w:p>
    <w:p w14:paraId="2CA04555">
      <w:pPr>
        <w:keepNext w:val="0"/>
        <w:keepLines w:val="0"/>
        <w:pageBreakBefore w:val="0"/>
        <w:widowControl w:val="0"/>
        <w:kinsoku/>
        <w:wordWrap/>
        <w:overflowPunct/>
        <w:topLinePunct w:val="0"/>
        <w:autoSpaceDE/>
        <w:autoSpaceDN/>
        <w:bidi w:val="0"/>
        <w:adjustRightInd/>
        <w:snapToGrid/>
        <w:spacing w:line="360" w:lineRule="auto"/>
        <w:ind w:firstLine="580"/>
        <w:textAlignment w:val="auto"/>
        <w:rPr>
          <w:rFonts w:hint="eastAsia" w:ascii="仿宋" w:hAnsi="仿宋" w:eastAsia="仿宋" w:cs="仿宋"/>
          <w:sz w:val="30"/>
          <w:szCs w:val="30"/>
          <w:u w:val="none"/>
          <w:lang w:val="en-US" w:eastAsia="zh-CN"/>
        </w:rPr>
      </w:pPr>
      <w:r>
        <w:rPr>
          <w:rFonts w:hint="eastAsia" w:ascii="仿宋" w:hAnsi="仿宋" w:eastAsia="仿宋" w:cs="仿宋"/>
          <w:color w:val="000000"/>
          <w:sz w:val="30"/>
          <w:szCs w:val="30"/>
          <w:u w:val="none"/>
          <w:lang w:val="en-US" w:eastAsia="zh-CN"/>
        </w:rPr>
        <w:t>8</w:t>
      </w:r>
      <w:r>
        <w:rPr>
          <w:rFonts w:hint="eastAsia" w:ascii="仿宋" w:hAnsi="仿宋" w:eastAsia="仿宋" w:cs="仿宋"/>
          <w:color w:val="000000"/>
          <w:sz w:val="30"/>
          <w:szCs w:val="30"/>
          <w:u w:val="none"/>
        </w:rPr>
        <w:t>、如申报的债权涉及利息、违约金或滞纳金、罚息等，均计算至破产申请受理之日的前一日</w:t>
      </w:r>
      <w:r>
        <w:rPr>
          <w:rFonts w:hint="eastAsia" w:ascii="仿宋" w:hAnsi="仿宋" w:eastAsia="仿宋" w:cs="仿宋"/>
          <w:sz w:val="30"/>
          <w:szCs w:val="30"/>
          <w:u w:val="none"/>
        </w:rPr>
        <w:t>，即202</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1</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29</w:t>
      </w:r>
      <w:r>
        <w:rPr>
          <w:rFonts w:hint="eastAsia" w:ascii="仿宋" w:hAnsi="仿宋" w:eastAsia="仿宋" w:cs="仿宋"/>
          <w:sz w:val="30"/>
          <w:szCs w:val="30"/>
          <w:u w:val="none"/>
        </w:rPr>
        <w:t>日</w:t>
      </w:r>
      <w:r>
        <w:rPr>
          <w:rFonts w:hint="eastAsia" w:ascii="仿宋" w:hAnsi="仿宋" w:eastAsia="仿宋" w:cs="仿宋"/>
          <w:sz w:val="30"/>
          <w:szCs w:val="30"/>
          <w:u w:val="none"/>
          <w:lang w:eastAsia="zh-CN"/>
        </w:rPr>
        <w:t>；同时，</w:t>
      </w:r>
      <w:r>
        <w:rPr>
          <w:rFonts w:hint="eastAsia" w:ascii="仿宋" w:hAnsi="仿宋" w:eastAsia="仿宋" w:cs="仿宋"/>
          <w:sz w:val="30"/>
          <w:szCs w:val="30"/>
          <w:u w:val="none"/>
          <w:lang w:val="en-US" w:eastAsia="zh-CN"/>
        </w:rPr>
        <w:t>需附</w:t>
      </w:r>
      <w:r>
        <w:rPr>
          <w:rFonts w:hint="eastAsia" w:ascii="仿宋" w:hAnsi="仿宋" w:eastAsia="仿宋" w:cs="仿宋"/>
          <w:sz w:val="30"/>
          <w:szCs w:val="30"/>
          <w:u w:val="none"/>
        </w:rPr>
        <w:t>利息、违约金计算表，说明利息、违约金的计算依据（应当明确指出合同约定利息或违约金涉及到的具体条款或法律文书涉及到的具体判项）、计算方法和计算结果，同时将正常利息与罚息、迟延利息、滞纳金、违约金等分开计算。</w:t>
      </w:r>
      <w:r>
        <w:rPr>
          <w:rFonts w:hint="eastAsia" w:ascii="仿宋" w:hAnsi="仿宋" w:eastAsia="仿宋" w:cs="仿宋"/>
          <w:sz w:val="30"/>
          <w:szCs w:val="30"/>
          <w:u w:val="none"/>
          <w:lang w:val="en-US" w:eastAsia="zh-CN"/>
        </w:rPr>
        <w:t>多笔债权的分别填写。</w:t>
      </w:r>
    </w:p>
    <w:p w14:paraId="1B9098B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lang w:val="en-US"/>
        </w:rPr>
        <mc:AlternateContent>
          <mc:Choice Requires="wps">
            <w:drawing>
              <wp:anchor distT="0" distB="0" distL="114300" distR="114300" simplePos="0" relativeHeight="251660288" behindDoc="0" locked="0" layoutInCell="1" allowOverlap="1">
                <wp:simplePos x="0" y="0"/>
                <wp:positionH relativeFrom="page">
                  <wp:posOffset>3683000</wp:posOffset>
                </wp:positionH>
                <wp:positionV relativeFrom="page">
                  <wp:posOffset>10185400</wp:posOffset>
                </wp:positionV>
                <wp:extent cx="330200" cy="254000"/>
                <wp:effectExtent l="0" t="0" r="0" b="0"/>
                <wp:wrapSquare wrapText="bothSides"/>
                <wp:docPr id="12" name="文本框 12"/>
                <wp:cNvGraphicFramePr/>
                <a:graphic xmlns:a="http://schemas.openxmlformats.org/drawingml/2006/main">
                  <a:graphicData uri="http://schemas.microsoft.com/office/word/2010/wordprocessingShape">
                    <wps:wsp>
                      <wps:cNvSpPr txBox="1"/>
                      <wps:spPr>
                        <a:xfrm rot="10980000">
                          <a:off x="0" y="0"/>
                          <a:ext cx="330200" cy="254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0081B">
                            <w:pPr>
                              <w:spacing w:line="240" w:lineRule="auto"/>
                              <w:jc w:val="both"/>
                            </w:pPr>
                          </w:p>
                        </w:txbxContent>
                      </wps:txbx>
                      <wps:bodyPr lIns="25400" tIns="0" rIns="25400" bIns="0">
                        <a:noAutofit/>
                      </wps:bodyPr>
                    </wps:wsp>
                  </a:graphicData>
                </a:graphic>
              </wp:anchor>
            </w:drawing>
          </mc:Choice>
          <mc:Fallback>
            <w:pict>
              <v:shape id="_x0000_s1026" o:spid="_x0000_s1026" o:spt="202" type="#_x0000_t202" style="position:absolute;left:0pt;margin-left:290pt;margin-top:802pt;height:20pt;width:26pt;mso-position-horizontal-relative:page;mso-position-vertical-relative:page;mso-wrap-distance-bottom:0pt;mso-wrap-distance-left:9pt;mso-wrap-distance-right:9pt;mso-wrap-distance-top:0pt;rotation:-11599872f;z-index:251660288;mso-width-relative:page;mso-height-relative:page;" filled="f" stroked="f" coordsize="21600,21600" o:gfxdata="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8h0itUAAAANAQAADwAAAAAAAAABACAAAAAi&#10;AAAAZHJzL2Rvd25yZXYueG1sUEsBAhQAFAAAAAgAh07iQGQXL8fUAQAAoQMAAA4AAAAAAAAAAQAg&#10;AAAAJAEAAGRycy9lMm9Eb2MueG1sUEsFBgAAAAAGAAYAWQEAAGoFAAAAAA==&#10;">
                <v:fill on="f" focussize="0,0"/>
                <v:stroke on="f" weight="0.5pt"/>
                <v:imagedata o:title=""/>
                <o:lock v:ext="edit" aspectratio="f"/>
                <v:textbox inset="2pt,0mm,2pt,0mm">
                  <w:txbxContent>
                    <w:p w14:paraId="4EB0081B">
                      <w:pPr>
                        <w:spacing w:line="240" w:lineRule="auto"/>
                        <w:jc w:val="both"/>
                      </w:pPr>
                    </w:p>
                  </w:txbxContent>
                </v:textbox>
                <w10:wrap type="square"/>
              </v:shape>
            </w:pict>
          </mc:Fallback>
        </mc:AlternateContent>
      </w:r>
      <w:r>
        <w:rPr>
          <w:rFonts w:hint="eastAsia" w:ascii="仿宋" w:hAnsi="仿宋" w:eastAsia="仿宋" w:cs="仿宋"/>
          <w:sz w:val="30"/>
          <w:szCs w:val="30"/>
          <w:u w:val="none"/>
          <w:lang w:val="en-US" w:eastAsia="zh-CN"/>
        </w:rPr>
        <w:t>9</w:t>
      </w:r>
      <w:r>
        <w:rPr>
          <w:rFonts w:hint="eastAsia" w:ascii="仿宋" w:hAnsi="仿宋" w:eastAsia="仿宋" w:cs="仿宋"/>
          <w:sz w:val="30"/>
          <w:szCs w:val="30"/>
          <w:u w:val="none"/>
        </w:rPr>
        <w:t>、申报债权金额大小写须一致，不一致的以大写为准；总额、分项须一致，不一致的管理人按分项汇总的金额为准</w:t>
      </w:r>
      <w:r>
        <w:rPr>
          <w:rFonts w:hint="eastAsia" w:ascii="仿宋" w:hAnsi="仿宋" w:eastAsia="仿宋" w:cs="仿宋"/>
          <w:sz w:val="30"/>
          <w:szCs w:val="30"/>
          <w:u w:val="none"/>
          <w:lang w:eastAsia="zh-CN"/>
        </w:rPr>
        <w:t>；</w:t>
      </w:r>
    </w:p>
    <w:p w14:paraId="1540296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0"/>
          <w:szCs w:val="30"/>
          <w:u w:val="none"/>
          <w:lang w:eastAsia="zh-CN"/>
        </w:rPr>
      </w:pPr>
      <w:r>
        <w:rPr>
          <w:rFonts w:hint="eastAsia" w:ascii="仿宋" w:hAnsi="仿宋" w:eastAsia="仿宋" w:cs="仿宋"/>
          <w:sz w:val="30"/>
          <w:szCs w:val="30"/>
          <w:u w:val="none"/>
        </w:rPr>
        <w:t>1</w:t>
      </w:r>
      <w:r>
        <w:rPr>
          <w:rFonts w:hint="eastAsia" w:ascii="仿宋" w:hAnsi="仿宋" w:eastAsia="仿宋" w:cs="仿宋"/>
          <w:sz w:val="30"/>
          <w:szCs w:val="30"/>
          <w:u w:val="none"/>
          <w:lang w:val="en-US" w:eastAsia="zh-CN"/>
        </w:rPr>
        <w:t>0</w:t>
      </w:r>
      <w:r>
        <w:rPr>
          <w:rFonts w:hint="eastAsia" w:ascii="仿宋" w:hAnsi="仿宋" w:eastAsia="仿宋" w:cs="仿宋"/>
          <w:sz w:val="30"/>
          <w:szCs w:val="30"/>
          <w:u w:val="none"/>
        </w:rPr>
        <w:t>、申报人以外币申报债权的：202</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年</w:t>
      </w:r>
      <w:r>
        <w:rPr>
          <w:rFonts w:hint="eastAsia" w:ascii="仿宋" w:hAnsi="仿宋" w:eastAsia="仿宋" w:cs="仿宋"/>
          <w:sz w:val="30"/>
          <w:szCs w:val="30"/>
          <w:u w:val="none"/>
          <w:lang w:val="en-US" w:eastAsia="zh-CN"/>
        </w:rPr>
        <w:t>1</w:t>
      </w:r>
      <w:r>
        <w:rPr>
          <w:rFonts w:hint="eastAsia" w:ascii="仿宋" w:hAnsi="仿宋" w:eastAsia="仿宋" w:cs="仿宋"/>
          <w:sz w:val="30"/>
          <w:szCs w:val="30"/>
          <w:u w:val="none"/>
        </w:rPr>
        <w:t>月</w:t>
      </w:r>
      <w:r>
        <w:rPr>
          <w:rFonts w:hint="eastAsia" w:ascii="仿宋" w:hAnsi="仿宋" w:eastAsia="仿宋" w:cs="仿宋"/>
          <w:sz w:val="30"/>
          <w:szCs w:val="30"/>
          <w:u w:val="none"/>
          <w:lang w:val="en-US" w:eastAsia="zh-CN"/>
        </w:rPr>
        <w:t>29</w:t>
      </w:r>
      <w:r>
        <w:rPr>
          <w:rFonts w:hint="eastAsia" w:ascii="仿宋" w:hAnsi="仿宋" w:eastAsia="仿宋" w:cs="仿宋"/>
          <w:sz w:val="30"/>
          <w:szCs w:val="30"/>
          <w:u w:val="none"/>
        </w:rPr>
        <w:t>日中国人民银行公布的外币兑人民币的汇率中间价统一折算为人民币。申报人未折算为人民币的，管理人有权不接受其申报。申报人申报利息的，应以折算为人民币后的本金数额为计息基数</w:t>
      </w:r>
      <w:r>
        <w:rPr>
          <w:rFonts w:hint="eastAsia" w:ascii="仿宋" w:hAnsi="仿宋" w:eastAsia="仿宋" w:cs="仿宋"/>
          <w:sz w:val="30"/>
          <w:szCs w:val="30"/>
          <w:u w:val="none"/>
          <w:lang w:eastAsia="zh-CN"/>
        </w:rPr>
        <w:t>；</w:t>
      </w:r>
    </w:p>
    <w:p w14:paraId="2C1199A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以上材料，请按照证据材料的形成时间先后排序。</w:t>
      </w:r>
    </w:p>
    <w:p w14:paraId="697FEB0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color w:val="000000"/>
          <w:sz w:val="30"/>
          <w:szCs w:val="30"/>
          <w:u w:val="none"/>
          <w:lang w:eastAsia="zh-CN"/>
        </w:rPr>
      </w:pPr>
      <w:r>
        <w:rPr>
          <w:rFonts w:hint="eastAsia" w:ascii="仿宋" w:hAnsi="仿宋" w:eastAsia="仿宋" w:cs="仿宋"/>
          <w:b/>
          <w:bCs/>
          <w:color w:val="000000"/>
          <w:sz w:val="30"/>
          <w:szCs w:val="30"/>
          <w:u w:val="none"/>
          <w:lang w:eastAsia="zh-CN"/>
        </w:rPr>
        <w:t>（四）其他要求</w:t>
      </w:r>
    </w:p>
    <w:p w14:paraId="034196E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1、</w:t>
      </w:r>
      <w:r>
        <w:rPr>
          <w:rFonts w:hint="eastAsia" w:ascii="仿宋" w:hAnsi="仿宋" w:eastAsia="仿宋" w:cs="仿宋"/>
          <w:color w:val="000000"/>
          <w:sz w:val="30"/>
          <w:szCs w:val="30"/>
          <w:u w:val="none"/>
        </w:rPr>
        <w:t>申报人申报债权时，各类申报材料均需一式贰份，资料用纸统一为A4纸。</w:t>
      </w:r>
    </w:p>
    <w:p w14:paraId="67A087C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2、</w:t>
      </w:r>
      <w:r>
        <w:rPr>
          <w:rFonts w:hint="eastAsia" w:ascii="仿宋" w:hAnsi="仿宋" w:eastAsia="仿宋" w:cs="仿宋"/>
          <w:color w:val="000000"/>
          <w:sz w:val="30"/>
          <w:szCs w:val="30"/>
          <w:u w:val="none"/>
        </w:rPr>
        <w:t>采用邮寄方式申报债权的申报人，除本指引中已标明必须提供原件的材料外，其余材料只须提供复印件，同时准备原件备查；现场申报债权的申报人，申报时须携带全部材料的原件供核对并提供复印件供留存。</w:t>
      </w:r>
    </w:p>
    <w:p w14:paraId="74EE31E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3、</w:t>
      </w:r>
      <w:r>
        <w:rPr>
          <w:rFonts w:hint="eastAsia" w:ascii="仿宋" w:hAnsi="仿宋" w:eastAsia="仿宋" w:cs="仿宋"/>
          <w:color w:val="000000"/>
          <w:sz w:val="30"/>
          <w:szCs w:val="30"/>
          <w:u w:val="none"/>
        </w:rPr>
        <w:t>债权人为法人或非法人组织的,应在债权申报表每页加盖公章,证据材料为多页的,应加盖公章及骑缝章;债权人为自然人的,应在债权申报表每页签字并按手印,证据材料为多页的,每页均应签字按手印。</w:t>
      </w:r>
    </w:p>
    <w:p w14:paraId="775113F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4、</w:t>
      </w:r>
      <w:r>
        <w:rPr>
          <w:rFonts w:hint="eastAsia" w:ascii="仿宋" w:hAnsi="仿宋" w:eastAsia="仿宋" w:cs="仿宋"/>
          <w:color w:val="000000"/>
          <w:sz w:val="30"/>
          <w:szCs w:val="30"/>
          <w:u w:val="none"/>
        </w:rPr>
        <w:t>若申报人提供的债权申报材料系在中华人民共和国领域外形成的</w:t>
      </w:r>
      <w:bookmarkStart w:id="0" w:name="_GoBack"/>
      <w:r>
        <w:rPr>
          <w:rFonts w:hint="eastAsia" w:ascii="仿宋" w:hAnsi="仿宋" w:eastAsia="仿宋" w:cs="仿宋"/>
          <w:color w:val="000000"/>
          <w:sz w:val="30"/>
          <w:szCs w:val="30"/>
          <w:u w:val="none"/>
        </w:rPr>
        <w:t>，</w:t>
      </w:r>
      <w:bookmarkEnd w:id="0"/>
      <w:r>
        <w:rPr>
          <w:rFonts w:hint="eastAsia" w:ascii="仿宋" w:hAnsi="仿宋" w:eastAsia="仿宋" w:cs="仿宋"/>
          <w:color w:val="000000"/>
          <w:sz w:val="30"/>
          <w:szCs w:val="30"/>
          <w:u w:val="none"/>
        </w:rPr>
        <w:t>该材料应当经所在国公证机关予以证明，并经中华人民共和国驻该国使领馆予以认证或者履行中华人民共和国与该所在国订立的有关条约中规定的证明手续，且所有外文资料须提供具备翻译资质的翻译公司翻译的相关中文译本。</w:t>
      </w:r>
    </w:p>
    <w:p w14:paraId="1032A2C7">
      <w:pPr>
        <w:keepNext w:val="0"/>
        <w:keepLines w:val="0"/>
        <w:pageBreakBefore w:val="0"/>
        <w:widowControl w:val="0"/>
        <w:kinsoku/>
        <w:wordWrap/>
        <w:overflowPunct/>
        <w:topLinePunct w:val="0"/>
        <w:autoSpaceDE/>
        <w:autoSpaceDN/>
        <w:bidi w:val="0"/>
        <w:adjustRightInd/>
        <w:snapToGrid/>
        <w:spacing w:line="360" w:lineRule="auto"/>
        <w:ind w:firstLine="500"/>
        <w:textAlignment w:val="auto"/>
        <w:rPr>
          <w:rFonts w:hint="eastAsia" w:ascii="仿宋" w:hAnsi="仿宋" w:eastAsia="仿宋" w:cs="仿宋"/>
          <w:b/>
          <w:bCs/>
          <w:color w:val="000000"/>
          <w:sz w:val="30"/>
          <w:szCs w:val="30"/>
          <w:u w:val="none"/>
        </w:rPr>
      </w:pPr>
      <w:r>
        <w:rPr>
          <w:rFonts w:hint="eastAsia" w:ascii="仿宋" w:hAnsi="仿宋" w:eastAsia="仿宋" w:cs="仿宋"/>
          <w:b/>
          <w:bCs/>
          <w:color w:val="000000"/>
          <w:sz w:val="30"/>
          <w:szCs w:val="30"/>
          <w:u w:val="none"/>
          <w:lang w:val="en-US" w:eastAsia="zh-CN"/>
        </w:rPr>
        <w:t>五</w:t>
      </w:r>
      <w:r>
        <w:rPr>
          <w:rFonts w:hint="eastAsia" w:ascii="仿宋" w:hAnsi="仿宋" w:eastAsia="仿宋" w:cs="仿宋"/>
          <w:b/>
          <w:bCs/>
          <w:color w:val="000000"/>
          <w:sz w:val="30"/>
          <w:szCs w:val="30"/>
          <w:u w:val="none"/>
        </w:rPr>
        <w:t>、特别注意事项</w:t>
      </w:r>
    </w:p>
    <w:p w14:paraId="019B5FE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（一）请申报人</w:t>
      </w:r>
      <w:r>
        <w:rPr>
          <w:rFonts w:hint="eastAsia" w:ascii="仿宋" w:hAnsi="仿宋" w:eastAsia="仿宋" w:cs="仿宋"/>
          <w:color w:val="auto"/>
          <w:sz w:val="30"/>
          <w:szCs w:val="30"/>
          <w:highlight w:val="none"/>
          <w:u w:val="none"/>
          <w:lang w:val="en-US" w:eastAsia="zh-CN"/>
        </w:rPr>
        <w:t>在债权申报截止日期前尽早</w:t>
      </w:r>
      <w:r>
        <w:rPr>
          <w:rFonts w:hint="eastAsia" w:ascii="仿宋" w:hAnsi="仿宋" w:eastAsia="仿宋" w:cs="仿宋"/>
          <w:color w:val="000000"/>
          <w:sz w:val="30"/>
          <w:szCs w:val="30"/>
          <w:u w:val="none"/>
        </w:rPr>
        <w:t>向管理人申报债权。如迟延申报，造成大量债权集中于申报截止日前的数日内申报，可能导致债权审查工作难以及时完成，进而影响申报人表决权的行使。</w:t>
      </w:r>
    </w:p>
    <w:p w14:paraId="40BB99F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（二）申报人申报的债权</w:t>
      </w:r>
      <w:r>
        <w:rPr>
          <w:rFonts w:hint="eastAsia" w:ascii="仿宋" w:hAnsi="仿宋" w:eastAsia="仿宋" w:cs="仿宋"/>
          <w:color w:val="000000"/>
          <w:sz w:val="30"/>
          <w:szCs w:val="30"/>
          <w:u w:val="none"/>
          <w:lang w:val="en-US" w:eastAsia="zh-CN"/>
        </w:rPr>
        <w:t>债务人</w:t>
      </w:r>
      <w:r>
        <w:rPr>
          <w:rFonts w:hint="eastAsia" w:ascii="仿宋" w:hAnsi="仿宋" w:eastAsia="仿宋" w:cs="仿宋"/>
          <w:color w:val="000000"/>
          <w:sz w:val="30"/>
          <w:szCs w:val="30"/>
          <w:u w:val="none"/>
        </w:rPr>
        <w:t>的清偿或者已经获得其他连带债务人的清偿的，应及时告知管理人，隐瞒债权受偿情况将承担相应的法律责任。</w:t>
      </w:r>
    </w:p>
    <w:p w14:paraId="72FFAE5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（三）申报债权后若发生债权转让的，应及时与管理人取得沟通，并在签署</w:t>
      </w:r>
      <w:r>
        <w:rPr>
          <w:rFonts w:hint="eastAsia" w:ascii="仿宋" w:hAnsi="仿宋" w:eastAsia="仿宋" w:cs="仿宋"/>
          <w:color w:val="000000"/>
          <w:sz w:val="30"/>
          <w:szCs w:val="30"/>
          <w:u w:val="none"/>
        </w:rPr>
        <mc:AlternateContent>
          <mc:Choice Requires="wps">
            <w:drawing>
              <wp:anchor distT="0" distB="0" distL="114300" distR="114300" simplePos="0" relativeHeight="251662336" behindDoc="0" locked="0" layoutInCell="1" allowOverlap="1">
                <wp:simplePos x="0" y="0"/>
                <wp:positionH relativeFrom="page">
                  <wp:posOffset>3695700</wp:posOffset>
                </wp:positionH>
                <wp:positionV relativeFrom="page">
                  <wp:posOffset>10198100</wp:posOffset>
                </wp:positionV>
                <wp:extent cx="317500" cy="241300"/>
                <wp:effectExtent l="0" t="0" r="6350" b="6350"/>
                <wp:wrapSquare wrapText="bothSides"/>
                <wp:docPr id="16" name="文本框 16"/>
                <wp:cNvGraphicFramePr/>
                <a:graphic xmlns:a="http://schemas.openxmlformats.org/drawingml/2006/main">
                  <a:graphicData uri="http://schemas.microsoft.com/office/word/2010/wordprocessingShape">
                    <wps:wsp>
                      <wps:cNvSpPr txBox="1"/>
                      <wps:spPr>
                        <a:xfrm>
                          <a:off x="0" y="0"/>
                          <a:ext cx="317500"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B60F2">
                            <w:pPr>
                              <w:spacing w:line="300" w:lineRule="exact"/>
                            </w:pPr>
                          </w:p>
                        </w:txbxContent>
                      </wps:txbx>
                      <wps:bodyPr lIns="25400" tIns="0" rIns="25400" bIns="0">
                        <a:noAutofit/>
                      </wps:bodyPr>
                    </wps:wsp>
                  </a:graphicData>
                </a:graphic>
              </wp:anchor>
            </w:drawing>
          </mc:Choice>
          <mc:Fallback>
            <w:pict>
              <v:shape id="_x0000_s1026" o:spid="_x0000_s1026" o:spt="202" type="#_x0000_t202" style="position:absolute;left:0pt;margin-left:291pt;margin-top:803pt;height:19pt;width:25pt;mso-position-horizontal-relative:page;mso-position-vertical-relative:page;mso-wrap-distance-bottom:0pt;mso-wrap-distance-left:9pt;mso-wrap-distance-right:9pt;mso-wrap-distance-top:0pt;z-index:251662336;mso-width-relative:page;mso-height-relative:page;" filled="f" stroked="f" coordsize="21600,21600" o:gfxdata="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76w0NkAAAANAQAADwAAAAAAAAABACAAAAAiAAAAZHJz&#10;L2Rvd25yZXYueG1sUEsBAhQAFAAAAAgAh07iQOjLJCfKAQAAkgMAAA4AAAAAAAAAAQAgAAAAKAEA&#10;AGRycy9lMm9Eb2MueG1sUEsFBgAAAAAGAAYAWQEAAGQFAAAAAA==&#10;">
                <v:fill on="f" focussize="0,0"/>
                <v:stroke on="f" weight="0.5pt"/>
                <v:imagedata o:title=""/>
                <o:lock v:ext="edit" aspectratio="f"/>
                <v:textbox inset="2pt,0mm,2pt,0mm">
                  <w:txbxContent>
                    <w:p w14:paraId="2C0B60F2">
                      <w:pPr>
                        <w:spacing w:line="300" w:lineRule="exact"/>
                      </w:pPr>
                    </w:p>
                  </w:txbxContent>
                </v:textbox>
                <w10:wrap type="square"/>
              </v:shape>
            </w:pict>
          </mc:Fallback>
        </mc:AlternateContent>
      </w:r>
      <w:r>
        <w:rPr>
          <w:rFonts w:hint="eastAsia" w:ascii="仿宋" w:hAnsi="仿宋" w:eastAsia="仿宋" w:cs="仿宋"/>
          <w:color w:val="000000"/>
          <w:sz w:val="30"/>
          <w:szCs w:val="30"/>
          <w:u w:val="none"/>
        </w:rPr>
        <w:t>债权转让协议或相关文件后及时书面通知管理人。</w:t>
      </w:r>
    </w:p>
    <w:p w14:paraId="55CF3C8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四</w:t>
      </w:r>
      <w:r>
        <w:rPr>
          <w:rFonts w:hint="eastAsia" w:ascii="仿宋" w:hAnsi="仿宋" w:eastAsia="仿宋" w:cs="仿宋"/>
          <w:color w:val="000000"/>
          <w:sz w:val="30"/>
          <w:szCs w:val="30"/>
          <w:u w:val="none"/>
        </w:rPr>
        <w:t>）申报人应认可按照申报人提供的通讯信息以书面邮寄、电话、短信、电子邮件、微信等通讯方式接收管理人通知及文件、材料；如通讯信息变更，申报人应</w:t>
      </w:r>
      <w:r>
        <w:rPr>
          <w:rFonts w:hint="eastAsia" w:ascii="仿宋" w:hAnsi="仿宋" w:eastAsia="仿宋" w:cs="仿宋"/>
          <w:color w:val="000000"/>
          <w:sz w:val="30"/>
          <w:szCs w:val="30"/>
          <w:u w:val="none"/>
          <w:lang w:val="en-US" w:eastAsia="zh-CN"/>
        </w:rPr>
        <w:t>三日内</w:t>
      </w:r>
      <w:r>
        <w:rPr>
          <w:rFonts w:hint="eastAsia" w:ascii="仿宋" w:hAnsi="仿宋" w:eastAsia="仿宋" w:cs="仿宋"/>
          <w:color w:val="000000"/>
          <w:sz w:val="30"/>
          <w:szCs w:val="30"/>
          <w:u w:val="none"/>
        </w:rPr>
        <w:t>以书面形式通知管理人，未通知的，对管理人／债务人不发生效力。管理人／债务人将相关文件邮寄到申报人指定地址、以短信形式发送至申报人指定手机号码或以电子邮件方式发至申报人指定邮箱、以微信形式发送至申报人指定微信号均视为有效送达，</w:t>
      </w:r>
      <w:r>
        <w:rPr>
          <w:rFonts w:hint="eastAsia" w:ascii="仿宋" w:hAnsi="仿宋" w:eastAsia="仿宋" w:cs="仿宋"/>
          <w:color w:val="000000"/>
          <w:sz w:val="30"/>
          <w:szCs w:val="30"/>
          <w:u w:val="none"/>
          <w:lang w:val="en-US" w:eastAsia="zh-CN"/>
        </w:rPr>
        <w:t>电子邮件发送之日即视为送达之日，邮寄文书寄出之日起第五日即视为送达之日，因此产生的一切不利后果由申报人承担。</w:t>
      </w:r>
      <w:r>
        <w:rPr>
          <w:rFonts w:hint="eastAsia" w:ascii="仿宋" w:hAnsi="仿宋" w:eastAsia="仿宋" w:cs="仿宋"/>
          <w:color w:val="000000"/>
          <w:sz w:val="30"/>
          <w:szCs w:val="30"/>
          <w:u w:val="none"/>
        </w:rPr>
        <w:t>请申报人正确填写通讯方式，避免文件无法送达。</w:t>
      </w:r>
    </w:p>
    <w:p w14:paraId="0A52F96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五</w:t>
      </w:r>
      <w:r>
        <w:rPr>
          <w:rFonts w:hint="eastAsia" w:ascii="仿宋" w:hAnsi="仿宋" w:eastAsia="仿宋" w:cs="仿宋"/>
          <w:color w:val="000000"/>
          <w:sz w:val="30"/>
          <w:szCs w:val="30"/>
          <w:u w:val="none"/>
        </w:rPr>
        <w:t>）申报人以邮寄方式申报债权的，应自行承担邮寄费用，管理人</w:t>
      </w:r>
      <w:r>
        <w:rPr>
          <w:rFonts w:hint="eastAsia" w:ascii="仿宋" w:hAnsi="仿宋" w:eastAsia="仿宋" w:cs="仿宋"/>
          <w:color w:val="000000"/>
          <w:sz w:val="30"/>
          <w:szCs w:val="30"/>
          <w:u w:val="none"/>
        </w:rPr>
        <mc:AlternateContent>
          <mc:Choice Requires="wps">
            <w:drawing>
              <wp:anchor distT="0" distB="0" distL="114300" distR="114300" simplePos="0" relativeHeight="251661312" behindDoc="0" locked="0" layoutInCell="1" allowOverlap="1">
                <wp:simplePos x="0" y="0"/>
                <wp:positionH relativeFrom="page">
                  <wp:posOffset>3695700</wp:posOffset>
                </wp:positionH>
                <wp:positionV relativeFrom="page">
                  <wp:posOffset>9753600</wp:posOffset>
                </wp:positionV>
                <wp:extent cx="292100" cy="215900"/>
                <wp:effectExtent l="0" t="0" r="0" b="12700"/>
                <wp:wrapSquare wrapText="bothSides"/>
                <wp:docPr id="17" name="文本框 17"/>
                <wp:cNvGraphicFramePr/>
                <a:graphic xmlns:a="http://schemas.openxmlformats.org/drawingml/2006/main">
                  <a:graphicData uri="http://schemas.microsoft.com/office/word/2010/wordprocessingShape">
                    <wps:wsp>
                      <wps:cNvSpPr txBox="1"/>
                      <wps:spPr>
                        <a:xfrm>
                          <a:off x="0" y="0"/>
                          <a:ext cx="292100" cy="2159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DC1BD">
                            <w:pPr>
                              <w:spacing w:line="280" w:lineRule="exact"/>
                              <w:jc w:val="center"/>
                            </w:pPr>
                          </w:p>
                        </w:txbxContent>
                      </wps:txbx>
                      <wps:bodyPr lIns="25400" tIns="0" rIns="25400" bIns="0">
                        <a:noAutofit/>
                      </wps:bodyPr>
                    </wps:wsp>
                  </a:graphicData>
                </a:graphic>
              </wp:anchor>
            </w:drawing>
          </mc:Choice>
          <mc:Fallback>
            <w:pict>
              <v:shape id="_x0000_s1026" o:spid="_x0000_s1026" o:spt="202" type="#_x0000_t202" style="position:absolute;left:0pt;margin-left:291pt;margin-top:768pt;height:17pt;width:23pt;mso-position-horizontal-relative:page;mso-position-vertical-relative:page;mso-wrap-distance-bottom:0pt;mso-wrap-distance-left:9pt;mso-wrap-distance-right:9pt;mso-wrap-distance-top:0pt;z-index:251661312;mso-width-relative:page;mso-height-relative:page;" filled="f" stroked="f" coordsize="21600,21600" o:gfxdata="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2eW9kAAAANAQAADwAAAAAAAAABACAAAAAiAAAAZHJz&#10;L2Rvd25yZXYueG1sUEsBAhQAFAAAAAgAh07iQESpOBzKAQAAkgMAAA4AAAAAAAAAAQAgAAAAKAEA&#10;AGRycy9lMm9Eb2MueG1sUEsFBgAAAAAGAAYAWQEAAGQFAAAAAA==&#10;">
                <v:fill on="f" focussize="0,0"/>
                <v:stroke on="f" weight="0.5pt"/>
                <v:imagedata o:title=""/>
                <o:lock v:ext="edit" aspectratio="f"/>
                <v:textbox inset="2pt,0mm,2pt,0mm">
                  <w:txbxContent>
                    <w:p w14:paraId="618DC1BD">
                      <w:pPr>
                        <w:spacing w:line="280" w:lineRule="exact"/>
                        <w:jc w:val="center"/>
                      </w:pPr>
                    </w:p>
                  </w:txbxContent>
                </v:textbox>
                <w10:wrap type="square"/>
              </v:shape>
            </w:pict>
          </mc:Fallback>
        </mc:AlternateContent>
      </w:r>
      <w:r>
        <w:rPr>
          <w:rFonts w:hint="eastAsia" w:ascii="仿宋" w:hAnsi="仿宋" w:eastAsia="仿宋" w:cs="仿宋"/>
          <w:color w:val="000000"/>
          <w:sz w:val="30"/>
          <w:szCs w:val="30"/>
          <w:u w:val="none"/>
        </w:rPr>
        <w:t>不接受以到付方式邮寄的债权申报。</w:t>
      </w:r>
    </w:p>
    <w:p w14:paraId="1610F63A">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lang w:val="en-US" w:eastAsia="zh-CN"/>
        </w:rPr>
        <w:t>（六）申报人应认真填写银行账号、开户行等信息，若有变更应三日内书面告知，未告知或账户信息有误导致管理人无法支付债权清偿款项的不利后果由申报人自行承担。</w:t>
      </w:r>
    </w:p>
    <w:p w14:paraId="2C372B9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七</w:t>
      </w:r>
      <w:r>
        <w:rPr>
          <w:rFonts w:hint="eastAsia" w:ascii="仿宋" w:hAnsi="仿宋" w:eastAsia="仿宋" w:cs="仿宋"/>
          <w:color w:val="000000"/>
          <w:sz w:val="30"/>
          <w:szCs w:val="30"/>
          <w:u w:val="none"/>
        </w:rPr>
        <w:t>）本指引不构成对无效债权（包括但不限于已过诉讼时效／除斥期间／申请执行期间等）的重新有效确认。</w:t>
      </w:r>
    </w:p>
    <w:p w14:paraId="5B8F9EF6">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rPr>
        <w:t>（</w:t>
      </w:r>
      <w:r>
        <w:rPr>
          <w:rFonts w:hint="eastAsia" w:ascii="仿宋" w:hAnsi="仿宋" w:eastAsia="仿宋" w:cs="仿宋"/>
          <w:color w:val="000000"/>
          <w:sz w:val="30"/>
          <w:szCs w:val="30"/>
          <w:u w:val="none"/>
          <w:lang w:val="en-US" w:eastAsia="zh-CN"/>
        </w:rPr>
        <w:t>八</w:t>
      </w:r>
      <w:r>
        <w:rPr>
          <w:rFonts w:hint="eastAsia" w:ascii="仿宋" w:hAnsi="仿宋" w:eastAsia="仿宋" w:cs="仿宋"/>
          <w:color w:val="000000"/>
          <w:sz w:val="30"/>
          <w:szCs w:val="30"/>
          <w:u w:val="none"/>
        </w:rPr>
        <w:t>）本指引未列明事项，按照《</w:t>
      </w:r>
      <w:r>
        <w:rPr>
          <w:rFonts w:hint="eastAsia" w:ascii="仿宋" w:hAnsi="仿宋" w:eastAsia="仿宋" w:cs="仿宋"/>
          <w:color w:val="000000"/>
          <w:sz w:val="30"/>
          <w:szCs w:val="30"/>
          <w:u w:val="none"/>
          <w:lang w:eastAsia="zh-CN"/>
        </w:rPr>
        <w:t>中华人民共和国</w:t>
      </w:r>
      <w:r>
        <w:rPr>
          <w:rFonts w:hint="eastAsia" w:ascii="仿宋" w:hAnsi="仿宋" w:eastAsia="仿宋" w:cs="仿宋"/>
          <w:color w:val="000000"/>
          <w:sz w:val="30"/>
          <w:szCs w:val="30"/>
          <w:u w:val="none"/>
        </w:rPr>
        <w:t>企业破产法》等法律法规和司法解释规定执行。本指引最终解释权归管理人所有。</w:t>
      </w:r>
    </w:p>
    <w:p w14:paraId="2FD2272C">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color w:val="000000"/>
          <w:sz w:val="30"/>
          <w:szCs w:val="30"/>
          <w:u w:val="none"/>
        </w:rPr>
      </w:pPr>
    </w:p>
    <w:p w14:paraId="2C359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0"/>
          <w:szCs w:val="30"/>
          <w:u w:val="none"/>
        </w:rPr>
      </w:pPr>
      <w:r>
        <w:rPr>
          <w:rFonts w:hint="eastAsia" w:ascii="仿宋" w:hAnsi="仿宋" w:eastAsia="仿宋" w:cs="仿宋"/>
          <w:b/>
          <w:bCs/>
          <w:color w:val="000000"/>
          <w:sz w:val="30"/>
          <w:szCs w:val="30"/>
          <w:u w:val="none"/>
        </w:rPr>
        <w:t>附件：</w:t>
      </w:r>
    </w:p>
    <w:p w14:paraId="1F7D9FF3">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lang w:val="en-US" w:eastAsia="zh-CN"/>
        </w:rPr>
        <w:t>1.</w:t>
      </w:r>
      <w:r>
        <w:rPr>
          <w:rFonts w:hint="eastAsia" w:ascii="仿宋" w:hAnsi="仿宋" w:eastAsia="仿宋" w:cs="仿宋"/>
          <w:color w:val="000000"/>
          <w:sz w:val="30"/>
          <w:szCs w:val="30"/>
          <w:u w:val="none"/>
        </w:rPr>
        <w:t>《债权申报材料</w:t>
      </w:r>
      <w:r>
        <w:rPr>
          <w:rFonts w:hint="eastAsia" w:ascii="仿宋" w:hAnsi="仿宋" w:eastAsia="仿宋" w:cs="仿宋"/>
          <w:color w:val="000000"/>
          <w:sz w:val="30"/>
          <w:szCs w:val="30"/>
          <w:u w:val="none"/>
          <w:lang w:val="en-US" w:eastAsia="zh-CN"/>
        </w:rPr>
        <w:t>清单</w:t>
      </w:r>
      <w:r>
        <w:rPr>
          <w:rFonts w:hint="eastAsia" w:ascii="仿宋" w:hAnsi="仿宋" w:eastAsia="仿宋" w:cs="仿宋"/>
          <w:color w:val="000000"/>
          <w:sz w:val="30"/>
          <w:szCs w:val="30"/>
          <w:u w:val="none"/>
        </w:rPr>
        <w:t>》；</w:t>
      </w:r>
    </w:p>
    <w:p w14:paraId="316DE09B">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2.</w:t>
      </w:r>
      <w:r>
        <w:rPr>
          <w:rFonts w:hint="eastAsia" w:ascii="仿宋" w:hAnsi="仿宋" w:eastAsia="仿宋" w:cs="仿宋"/>
          <w:color w:val="000000"/>
          <w:sz w:val="30"/>
          <w:szCs w:val="30"/>
          <w:u w:val="none"/>
        </w:rPr>
        <w:t>《债权申报表》；</w:t>
      </w:r>
    </w:p>
    <w:p w14:paraId="4C7900B1">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lang w:val="en-US" w:eastAsia="zh-CN"/>
        </w:rPr>
        <w:t>3.</w:t>
      </w:r>
      <w:r>
        <w:rPr>
          <w:rFonts w:hint="eastAsia" w:ascii="仿宋" w:hAnsi="仿宋" w:eastAsia="仿宋" w:cs="仿宋"/>
          <w:color w:val="000000"/>
          <w:sz w:val="30"/>
          <w:szCs w:val="30"/>
          <w:u w:val="none"/>
        </w:rPr>
        <w:t>《债权申报表</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lang w:val="en-US" w:eastAsia="zh-CN"/>
        </w:rPr>
        <w:t>适用于购房者</w:t>
      </w:r>
      <w:r>
        <w:rPr>
          <w:rFonts w:hint="eastAsia" w:ascii="仿宋" w:hAnsi="仿宋" w:eastAsia="仿宋" w:cs="仿宋"/>
          <w:color w:val="000000"/>
          <w:sz w:val="30"/>
          <w:szCs w:val="30"/>
          <w:u w:val="none"/>
          <w:lang w:eastAsia="zh-CN"/>
        </w:rPr>
        <w:t>）</w:t>
      </w:r>
      <w:r>
        <w:rPr>
          <w:rFonts w:hint="eastAsia" w:ascii="仿宋" w:hAnsi="仿宋" w:eastAsia="仿宋" w:cs="仿宋"/>
          <w:color w:val="000000"/>
          <w:sz w:val="30"/>
          <w:szCs w:val="30"/>
          <w:u w:val="none"/>
        </w:rPr>
        <w:t>》；</w:t>
      </w:r>
    </w:p>
    <w:p w14:paraId="5C7AADA0">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sz w:val="30"/>
          <w:szCs w:val="30"/>
          <w:u w:val="none"/>
        </w:rPr>
      </w:pPr>
      <w:r>
        <w:rPr>
          <w:rFonts w:hint="eastAsia" w:ascii="仿宋" w:hAnsi="仿宋" w:eastAsia="仿宋" w:cs="仿宋"/>
          <w:color w:val="000000"/>
          <w:sz w:val="30"/>
          <w:szCs w:val="30"/>
          <w:u w:val="none"/>
          <w:lang w:val="en-US" w:eastAsia="zh-CN"/>
        </w:rPr>
        <w:t>4.</w:t>
      </w:r>
      <w:r>
        <w:rPr>
          <w:rFonts w:hint="eastAsia" w:ascii="仿宋" w:hAnsi="仿宋" w:eastAsia="仿宋" w:cs="仿宋"/>
          <w:color w:val="000000"/>
          <w:sz w:val="30"/>
          <w:szCs w:val="30"/>
          <w:u w:val="none"/>
        </w:rPr>
        <w:t>《法定代表人（负责人）身份证明书》（参考范本）；</w:t>
      </w:r>
    </w:p>
    <w:p w14:paraId="6963C6F6">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color w:val="000000"/>
          <w:sz w:val="30"/>
          <w:szCs w:val="30"/>
          <w:u w:val="none"/>
        </w:rPr>
      </w:pPr>
      <w:r>
        <w:rPr>
          <w:rFonts w:hint="eastAsia" w:ascii="仿宋" w:hAnsi="仿宋" w:eastAsia="仿宋" w:cs="仿宋"/>
          <w:color w:val="000000"/>
          <w:sz w:val="30"/>
          <w:szCs w:val="30"/>
          <w:u w:val="none"/>
          <w:lang w:val="en-US" w:eastAsia="zh-CN"/>
        </w:rPr>
        <w:t>5.</w:t>
      </w:r>
      <w:r>
        <w:rPr>
          <w:rFonts w:hint="eastAsia" w:ascii="仿宋" w:hAnsi="仿宋" w:eastAsia="仿宋" w:cs="仿宋"/>
          <w:color w:val="000000"/>
          <w:sz w:val="30"/>
          <w:szCs w:val="30"/>
          <w:u w:val="none"/>
        </w:rPr>
        <w:t>《授权委托书》（参考范本）；</w:t>
      </w:r>
    </w:p>
    <w:p w14:paraId="4177AD69">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color w:val="000000"/>
          <w:sz w:val="30"/>
          <w:szCs w:val="30"/>
          <w:u w:val="none"/>
          <w:lang w:val="en-US" w:eastAsia="zh-CN"/>
        </w:rPr>
      </w:pPr>
      <w:r>
        <w:rPr>
          <w:rFonts w:hint="eastAsia" w:ascii="仿宋" w:hAnsi="仿宋" w:eastAsia="仿宋" w:cs="仿宋"/>
          <w:color w:val="000000"/>
          <w:sz w:val="30"/>
          <w:szCs w:val="30"/>
          <w:u w:val="none"/>
          <w:lang w:val="en-US" w:eastAsia="zh-CN"/>
        </w:rPr>
        <w:t xml:space="preserve">6.《关于申报案件受理费、执行申请费债权的说明》。 </w:t>
      </w:r>
    </w:p>
    <w:p w14:paraId="6F4D5A1B">
      <w:pPr>
        <w:keepNext w:val="0"/>
        <w:keepLines w:val="0"/>
        <w:pageBreakBefore w:val="0"/>
        <w:widowControl w:val="0"/>
        <w:kinsoku/>
        <w:wordWrap/>
        <w:overflowPunct/>
        <w:topLinePunct w:val="0"/>
        <w:autoSpaceDE/>
        <w:autoSpaceDN/>
        <w:bidi w:val="0"/>
        <w:adjustRightInd/>
        <w:snapToGrid/>
        <w:spacing w:line="360" w:lineRule="auto"/>
        <w:ind w:firstLine="460"/>
        <w:textAlignment w:val="auto"/>
        <w:rPr>
          <w:rFonts w:hint="eastAsia" w:ascii="仿宋" w:hAnsi="仿宋" w:eastAsia="仿宋" w:cs="仿宋"/>
          <w:color w:val="000000"/>
          <w:sz w:val="28"/>
          <w:szCs w:val="28"/>
          <w:u w:val="none"/>
          <w:lang w:val="en-US" w:eastAsia="zh-CN"/>
        </w:rPr>
      </w:pPr>
    </w:p>
    <w:p w14:paraId="0B272A36">
      <w:pPr>
        <w:keepNext w:val="0"/>
        <w:keepLines w:val="0"/>
        <w:pageBreakBefore w:val="0"/>
        <w:widowControl w:val="0"/>
        <w:kinsoku/>
        <w:wordWrap/>
        <w:overflowPunct/>
        <w:topLinePunct w:val="0"/>
        <w:autoSpaceDE/>
        <w:autoSpaceDN/>
        <w:bidi w:val="0"/>
        <w:adjustRightInd/>
        <w:snapToGrid/>
        <w:spacing w:line="360" w:lineRule="auto"/>
        <w:ind w:right="104" w:rightChars="0" w:firstLine="3640" w:firstLineChars="1300"/>
        <w:textAlignment w:val="auto"/>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威海市皓程置业有限公司</w:t>
      </w:r>
      <w:r>
        <w:rPr>
          <w:rFonts w:hint="eastAsia" w:ascii="仿宋" w:hAnsi="仿宋" w:eastAsia="仿宋" w:cs="仿宋"/>
          <w:sz w:val="28"/>
          <w:szCs w:val="28"/>
          <w:u w:val="none"/>
        </w:rPr>
        <w:t>重整管理人</w:t>
      </w:r>
    </w:p>
    <w:p w14:paraId="7E66BDC5">
      <w:pPr>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sz w:val="28"/>
          <w:szCs w:val="28"/>
          <w:u w:val="none"/>
        </w:rPr>
      </w:pPr>
      <w:r>
        <w:rPr>
          <w:rFonts w:hint="eastAsia" w:ascii="仿宋" w:hAnsi="仿宋" w:eastAsia="仿宋" w:cs="仿宋"/>
          <w:sz w:val="28"/>
          <w:szCs w:val="28"/>
          <w:u w:val="none"/>
        </w:rPr>
        <w:t xml:space="preserve">                                  二〇二</w:t>
      </w:r>
      <w:r>
        <w:rPr>
          <w:rFonts w:hint="eastAsia" w:ascii="仿宋" w:hAnsi="仿宋" w:eastAsia="仿宋" w:cs="仿宋"/>
          <w:sz w:val="28"/>
          <w:szCs w:val="28"/>
          <w:u w:val="none"/>
          <w:lang w:val="en-US" w:eastAsia="zh-CN"/>
        </w:rPr>
        <w:t>六</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三</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十九</w:t>
      </w:r>
      <w:r>
        <w:rPr>
          <w:rFonts w:hint="eastAsia" w:ascii="仿宋" w:hAnsi="仿宋" w:eastAsia="仿宋" w:cs="仿宋"/>
          <w:sz w:val="28"/>
          <w:szCs w:val="28"/>
          <w:u w:val="none"/>
        </w:rPr>
        <w:t>日</w:t>
      </w:r>
    </w:p>
    <w:sectPr>
      <w:footerReference r:id="rId3" w:type="default"/>
      <w:pgSz w:w="11906" w:h="16838"/>
      <w:pgMar w:top="1418" w:right="1701" w:bottom="1418" w:left="1701" w:header="851" w:footer="992" w:gutter="0"/>
      <w:pgNumType w:fmt="decimal"/>
      <w:cols w:space="425" w:num="1"/>
      <w:docGrid w:type="linesAndChar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9610">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FC06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FC064">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6D6D7EE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29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80"/>
    <w:rsid w:val="000043DC"/>
    <w:rsid w:val="000214CE"/>
    <w:rsid w:val="00021DB0"/>
    <w:rsid w:val="000312B7"/>
    <w:rsid w:val="00047D31"/>
    <w:rsid w:val="0006130E"/>
    <w:rsid w:val="00071074"/>
    <w:rsid w:val="000811DE"/>
    <w:rsid w:val="0009088F"/>
    <w:rsid w:val="000A4974"/>
    <w:rsid w:val="000D7F23"/>
    <w:rsid w:val="000F3DD0"/>
    <w:rsid w:val="001139B0"/>
    <w:rsid w:val="00122EAB"/>
    <w:rsid w:val="00126C8B"/>
    <w:rsid w:val="00137C5A"/>
    <w:rsid w:val="00146C20"/>
    <w:rsid w:val="00155DED"/>
    <w:rsid w:val="001646B3"/>
    <w:rsid w:val="0017501D"/>
    <w:rsid w:val="00190934"/>
    <w:rsid w:val="001E260F"/>
    <w:rsid w:val="001E306E"/>
    <w:rsid w:val="001F22F0"/>
    <w:rsid w:val="00216AAD"/>
    <w:rsid w:val="00224271"/>
    <w:rsid w:val="00236DC7"/>
    <w:rsid w:val="00250F1F"/>
    <w:rsid w:val="00263D77"/>
    <w:rsid w:val="002865BA"/>
    <w:rsid w:val="002A2AB1"/>
    <w:rsid w:val="002D6D0C"/>
    <w:rsid w:val="002D728C"/>
    <w:rsid w:val="002E761A"/>
    <w:rsid w:val="002F092D"/>
    <w:rsid w:val="00300154"/>
    <w:rsid w:val="00301823"/>
    <w:rsid w:val="00306A75"/>
    <w:rsid w:val="003108D1"/>
    <w:rsid w:val="003117D9"/>
    <w:rsid w:val="00317E10"/>
    <w:rsid w:val="003220AB"/>
    <w:rsid w:val="00332CF4"/>
    <w:rsid w:val="00344959"/>
    <w:rsid w:val="00382CCF"/>
    <w:rsid w:val="003A225B"/>
    <w:rsid w:val="003A762F"/>
    <w:rsid w:val="003B4E63"/>
    <w:rsid w:val="003B619F"/>
    <w:rsid w:val="003B6ECE"/>
    <w:rsid w:val="00412F09"/>
    <w:rsid w:val="00414FDE"/>
    <w:rsid w:val="004469E9"/>
    <w:rsid w:val="004723AB"/>
    <w:rsid w:val="00480846"/>
    <w:rsid w:val="00490586"/>
    <w:rsid w:val="004914E2"/>
    <w:rsid w:val="004A7DE5"/>
    <w:rsid w:val="004D1A35"/>
    <w:rsid w:val="004E3D4D"/>
    <w:rsid w:val="004F14AE"/>
    <w:rsid w:val="00510A1E"/>
    <w:rsid w:val="00535EB1"/>
    <w:rsid w:val="005408AC"/>
    <w:rsid w:val="005603D6"/>
    <w:rsid w:val="00571F0E"/>
    <w:rsid w:val="005A01CB"/>
    <w:rsid w:val="005A31CB"/>
    <w:rsid w:val="005D4402"/>
    <w:rsid w:val="005E12F6"/>
    <w:rsid w:val="005F3CDC"/>
    <w:rsid w:val="005F7BC8"/>
    <w:rsid w:val="00611E48"/>
    <w:rsid w:val="006308B2"/>
    <w:rsid w:val="00667390"/>
    <w:rsid w:val="00675AFB"/>
    <w:rsid w:val="00695C72"/>
    <w:rsid w:val="0069718F"/>
    <w:rsid w:val="006C478F"/>
    <w:rsid w:val="006F12D8"/>
    <w:rsid w:val="006F4ED0"/>
    <w:rsid w:val="007178D3"/>
    <w:rsid w:val="00724E7C"/>
    <w:rsid w:val="00742E53"/>
    <w:rsid w:val="00743AF4"/>
    <w:rsid w:val="00752FB2"/>
    <w:rsid w:val="007B3363"/>
    <w:rsid w:val="007B372F"/>
    <w:rsid w:val="007D30A7"/>
    <w:rsid w:val="007E3492"/>
    <w:rsid w:val="007E6DDE"/>
    <w:rsid w:val="00881B79"/>
    <w:rsid w:val="0089532D"/>
    <w:rsid w:val="008C4485"/>
    <w:rsid w:val="008D07C1"/>
    <w:rsid w:val="008D5CF5"/>
    <w:rsid w:val="008F5939"/>
    <w:rsid w:val="00912219"/>
    <w:rsid w:val="009241FB"/>
    <w:rsid w:val="00926466"/>
    <w:rsid w:val="00937975"/>
    <w:rsid w:val="009379ED"/>
    <w:rsid w:val="00942429"/>
    <w:rsid w:val="00954E18"/>
    <w:rsid w:val="009738BE"/>
    <w:rsid w:val="009759FB"/>
    <w:rsid w:val="00976710"/>
    <w:rsid w:val="009841D4"/>
    <w:rsid w:val="00987A0F"/>
    <w:rsid w:val="00991F1A"/>
    <w:rsid w:val="009931D5"/>
    <w:rsid w:val="009A1EFA"/>
    <w:rsid w:val="009C2FD0"/>
    <w:rsid w:val="009D07F6"/>
    <w:rsid w:val="009D6AE4"/>
    <w:rsid w:val="00A045DF"/>
    <w:rsid w:val="00A11BE3"/>
    <w:rsid w:val="00A2688D"/>
    <w:rsid w:val="00A3661D"/>
    <w:rsid w:val="00A52CB3"/>
    <w:rsid w:val="00A86769"/>
    <w:rsid w:val="00A87C3B"/>
    <w:rsid w:val="00A902D2"/>
    <w:rsid w:val="00A95F46"/>
    <w:rsid w:val="00AB13CB"/>
    <w:rsid w:val="00AB64E6"/>
    <w:rsid w:val="00AB6550"/>
    <w:rsid w:val="00AD3888"/>
    <w:rsid w:val="00AE1525"/>
    <w:rsid w:val="00AE538A"/>
    <w:rsid w:val="00AE7740"/>
    <w:rsid w:val="00AF1571"/>
    <w:rsid w:val="00AF29AC"/>
    <w:rsid w:val="00B01AA1"/>
    <w:rsid w:val="00B05086"/>
    <w:rsid w:val="00B10294"/>
    <w:rsid w:val="00B22940"/>
    <w:rsid w:val="00B36ABB"/>
    <w:rsid w:val="00B42F91"/>
    <w:rsid w:val="00B57342"/>
    <w:rsid w:val="00B820B0"/>
    <w:rsid w:val="00BA3448"/>
    <w:rsid w:val="00BE3E9B"/>
    <w:rsid w:val="00C07431"/>
    <w:rsid w:val="00C166BD"/>
    <w:rsid w:val="00C3023F"/>
    <w:rsid w:val="00C47DEF"/>
    <w:rsid w:val="00C81F36"/>
    <w:rsid w:val="00C856AE"/>
    <w:rsid w:val="00CA51A4"/>
    <w:rsid w:val="00CC0782"/>
    <w:rsid w:val="00CF227F"/>
    <w:rsid w:val="00D130D8"/>
    <w:rsid w:val="00D233F3"/>
    <w:rsid w:val="00D41694"/>
    <w:rsid w:val="00D46E32"/>
    <w:rsid w:val="00D52D16"/>
    <w:rsid w:val="00D56533"/>
    <w:rsid w:val="00D5766F"/>
    <w:rsid w:val="00D62033"/>
    <w:rsid w:val="00D64ADD"/>
    <w:rsid w:val="00D65DCF"/>
    <w:rsid w:val="00D7498D"/>
    <w:rsid w:val="00D96CE5"/>
    <w:rsid w:val="00DA1E42"/>
    <w:rsid w:val="00DA29A2"/>
    <w:rsid w:val="00DB19B4"/>
    <w:rsid w:val="00DC4FCB"/>
    <w:rsid w:val="00DD1FAB"/>
    <w:rsid w:val="00DD5BB5"/>
    <w:rsid w:val="00DE7808"/>
    <w:rsid w:val="00DE794E"/>
    <w:rsid w:val="00DF1DC3"/>
    <w:rsid w:val="00DF1DF2"/>
    <w:rsid w:val="00DF7EC3"/>
    <w:rsid w:val="00E03467"/>
    <w:rsid w:val="00E32661"/>
    <w:rsid w:val="00E61AC3"/>
    <w:rsid w:val="00E9697E"/>
    <w:rsid w:val="00EA2F1D"/>
    <w:rsid w:val="00EC642C"/>
    <w:rsid w:val="00EE0063"/>
    <w:rsid w:val="00EE037E"/>
    <w:rsid w:val="00EE5AF2"/>
    <w:rsid w:val="00F03909"/>
    <w:rsid w:val="00F2599D"/>
    <w:rsid w:val="00F30B17"/>
    <w:rsid w:val="00F37B6E"/>
    <w:rsid w:val="00F825C9"/>
    <w:rsid w:val="00F861BD"/>
    <w:rsid w:val="00F91980"/>
    <w:rsid w:val="00FD3E92"/>
    <w:rsid w:val="00FE2D28"/>
    <w:rsid w:val="00FF1969"/>
    <w:rsid w:val="00FF24A7"/>
    <w:rsid w:val="00FF74DE"/>
    <w:rsid w:val="12474CAD"/>
    <w:rsid w:val="149715D7"/>
    <w:rsid w:val="14F138B1"/>
    <w:rsid w:val="27DA45EB"/>
    <w:rsid w:val="30C253F1"/>
    <w:rsid w:val="367EFC7C"/>
    <w:rsid w:val="3FCDB464"/>
    <w:rsid w:val="4D97C540"/>
    <w:rsid w:val="4FFF784E"/>
    <w:rsid w:val="5EBE71A0"/>
    <w:rsid w:val="5FFEB11A"/>
    <w:rsid w:val="70EFA04D"/>
    <w:rsid w:val="7165072C"/>
    <w:rsid w:val="749C346A"/>
    <w:rsid w:val="79C455F2"/>
    <w:rsid w:val="7FEC74B5"/>
    <w:rsid w:val="7FFD1EA5"/>
    <w:rsid w:val="CDF66CD0"/>
    <w:rsid w:val="DFE72FFA"/>
    <w:rsid w:val="EABF378B"/>
    <w:rsid w:val="EF7E75E3"/>
    <w:rsid w:val="EFBD084C"/>
    <w:rsid w:val="EFDCD75B"/>
    <w:rsid w:val="F36AF3BB"/>
    <w:rsid w:val="FFDFEB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semiHidden/>
    <w:qFormat/>
    <w:uiPriority w:val="0"/>
    <w:rPr>
      <w:rFonts w:ascii="PingFang SC" w:hAnsi="PingFang SC" w:eastAsia="PingFang SC" w:cs="PingFang SC"/>
      <w:sz w:val="22"/>
      <w:szCs w:val="22"/>
      <w:lang w:val="en-US" w:eastAsia="en-US" w:bidi="ar-SA"/>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semiHidden/>
    <w:unhideWhenUsed/>
    <w:qFormat/>
    <w:uiPriority w:val="99"/>
    <w:rPr>
      <w:b/>
      <w:bCs/>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未处理的提及1"/>
    <w:basedOn w:val="10"/>
    <w:semiHidden/>
    <w:unhideWhenUsed/>
    <w:qFormat/>
    <w:uiPriority w:val="99"/>
    <w:rPr>
      <w:color w:val="605E5C"/>
      <w:shd w:val="clear" w:color="auto" w:fill="E1DFDD"/>
    </w:rPr>
  </w:style>
  <w:style w:type="character" w:customStyle="1" w:styleId="14">
    <w:name w:val="批注框文本 Char"/>
    <w:basedOn w:val="10"/>
    <w:link w:val="5"/>
    <w:semiHidden/>
    <w:qFormat/>
    <w:uiPriority w:val="99"/>
    <w:rPr>
      <w:sz w:val="18"/>
      <w:szCs w:val="18"/>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 w:type="character" w:customStyle="1" w:styleId="17">
    <w:name w:val="日期 Char"/>
    <w:basedOn w:val="10"/>
    <w:link w:val="4"/>
    <w:semiHidden/>
    <w:qFormat/>
    <w:uiPriority w:val="99"/>
  </w:style>
  <w:style w:type="character" w:customStyle="1" w:styleId="18">
    <w:name w:val="批注文字 Char"/>
    <w:basedOn w:val="10"/>
    <w:link w:val="2"/>
    <w:semiHidden/>
    <w:qFormat/>
    <w:uiPriority w:val="99"/>
  </w:style>
  <w:style w:type="character" w:customStyle="1" w:styleId="19">
    <w:name w:val="批注主题 Char"/>
    <w:basedOn w:val="18"/>
    <w:link w:val="8"/>
    <w:semiHidden/>
    <w:qFormat/>
    <w:uiPriority w:val="99"/>
    <w:rPr>
      <w:b/>
      <w:bCs/>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Unresolved Mention"/>
    <w:basedOn w:val="10"/>
    <w:semiHidden/>
    <w:unhideWhenUsed/>
    <w:qFormat/>
    <w:uiPriority w:val="99"/>
    <w:rPr>
      <w:color w:val="605E5C"/>
      <w:shd w:val="clear" w:color="auto" w:fill="E1DFDD"/>
    </w:rPr>
  </w:style>
  <w:style w:type="character" w:customStyle="1" w:styleId="22">
    <w:name w:val="15"/>
    <w:basedOn w:val="10"/>
    <w:qFormat/>
    <w:uiPriority w:val="0"/>
    <w:rPr>
      <w:rFonts w:hint="default" w:ascii="Times New Roman" w:hAnsi="Times New Roman" w:cs="Times New Roman"/>
    </w:rPr>
  </w:style>
  <w:style w:type="character" w:customStyle="1" w:styleId="23">
    <w:name w:val="10"/>
    <w:basedOn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4446</Words>
  <Characters>4581</Characters>
  <Lines>1</Lines>
  <Paragraphs>1</Paragraphs>
  <TotalTime>25</TotalTime>
  <ScaleCrop>false</ScaleCrop>
  <LinksUpToDate>false</LinksUpToDate>
  <CharactersWithSpaces>4630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2022-05-09T17:32:00Z</dcterms:created>
  <dc:creator>L</dc:creator>
  <cp:lastModifiedBy>于宝明</cp:lastModifiedBy>
  <cp:lastPrinted>2022-05-11T15:43:00Z</cp:lastPrinted>
  <dcterms:modified xsi:type="dcterms:W3CDTF">2026-03-19T11:15:14Z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4ED87302F0B7565AB847A6691CAC9571_42</vt:lpwstr>
  </property>
  <property fmtid="{D5CDD505-2E9C-101B-9397-08002B2CF9AE}" pid="4" name="KSOTemplateDocerSaveRecord">
    <vt:lpwstr>eyJoZGlkIjoiMjI5ODc4ZDEwMTQzOGJjZDRmODc4ZWI5YWZmOWU1MWQiLCJ1c2VySWQiOiIyMDE2NzcxODQifQ==</vt:lpwstr>
  </property>
</Properties>
</file>